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D7" w:rsidRDefault="001F07D7" w:rsidP="001F07D7">
      <w:pPr>
        <w:rPr>
          <w:rFonts w:eastAsia="Times New Roman"/>
        </w:rPr>
      </w:pPr>
      <w:r>
        <w:rPr>
          <w:rFonts w:eastAsia="Times New Roman"/>
          <w:b/>
          <w:bCs/>
        </w:rPr>
        <w:t>From:</w:t>
      </w:r>
      <w:r>
        <w:rPr>
          <w:rFonts w:eastAsia="Times New Roman"/>
        </w:rPr>
        <w:t xml:space="preserve"> Gascon, Jaime (RER) [mailto:Jaime.Gascon@miamidade.gov] </w:t>
      </w:r>
      <w:r>
        <w:rPr>
          <w:rFonts w:eastAsia="Times New Roman"/>
        </w:rPr>
        <w:br/>
      </w:r>
      <w:r>
        <w:rPr>
          <w:rFonts w:eastAsia="Times New Roman"/>
          <w:b/>
          <w:bCs/>
        </w:rPr>
        <w:t>Sent:</w:t>
      </w:r>
      <w:r>
        <w:rPr>
          <w:rFonts w:eastAsia="Times New Roman"/>
        </w:rPr>
        <w:t xml:space="preserve"> Wednesday, November 16, 2022 4:19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Rodriguez, Gaspar (RER) &lt;Gaspar.Rodriguez@miamidade.gov&gt;; Gonzalez, Eduardo (RER) &lt;Eduardo.Gonzalez2@miamidade.gov&gt;; Hall, John (RER) &lt;John.Hall2@miamidade.gov&gt;</w:t>
      </w:r>
      <w:r>
        <w:rPr>
          <w:rFonts w:eastAsia="Times New Roman"/>
        </w:rPr>
        <w:br/>
      </w:r>
      <w:r>
        <w:rPr>
          <w:rFonts w:eastAsia="Times New Roman"/>
          <w:b/>
          <w:bCs/>
        </w:rPr>
        <w:t>Subject:</w:t>
      </w:r>
      <w:r>
        <w:rPr>
          <w:rFonts w:eastAsia="Times New Roman"/>
        </w:rPr>
        <w:t xml:space="preserve"> FW: Florida Building Code – Code development – Tracking Charts with TAC’s Action from the October 2022 Meetings</w:t>
      </w:r>
    </w:p>
    <w:p w:rsidR="001F07D7" w:rsidRDefault="001F07D7" w:rsidP="001F07D7"/>
    <w:p w:rsidR="001F07D7" w:rsidRDefault="001F07D7" w:rsidP="001F07D7">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1F07D7" w:rsidTr="001F07D7">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1F07D7" w:rsidRDefault="001F07D7">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1F07D7" w:rsidRDefault="001F07D7" w:rsidP="001F07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rsidR="001F07D7" w:rsidRDefault="001F07D7" w:rsidP="001F07D7">
      <w:r>
        <w:t>Good afternoon Mo,</w:t>
      </w:r>
    </w:p>
    <w:p w:rsidR="001F07D7" w:rsidRDefault="001F07D7" w:rsidP="001F07D7"/>
    <w:p w:rsidR="001F07D7" w:rsidRDefault="001F07D7" w:rsidP="001F07D7">
      <w:r>
        <w:t>On behalf of Miami-Dade County, I request the following modifications be pulled for individual consideration at the December 13-14, 2022 FBC meeting.</w:t>
      </w:r>
    </w:p>
    <w:p w:rsidR="001F07D7" w:rsidRDefault="001F07D7" w:rsidP="001F07D7"/>
    <w:tbl>
      <w:tblPr>
        <w:tblW w:w="0" w:type="auto"/>
        <w:tblCellMar>
          <w:left w:w="0" w:type="dxa"/>
          <w:right w:w="0" w:type="dxa"/>
        </w:tblCellMar>
        <w:tblLook w:val="04A0" w:firstRow="1" w:lastRow="0" w:firstColumn="1" w:lastColumn="0" w:noHBand="0" w:noVBand="1"/>
      </w:tblPr>
      <w:tblGrid>
        <w:gridCol w:w="1911"/>
        <w:gridCol w:w="1220"/>
        <w:gridCol w:w="2937"/>
        <w:gridCol w:w="3272"/>
      </w:tblGrid>
      <w:tr w:rsidR="001F07D7" w:rsidTr="001F07D7">
        <w:tc>
          <w:tcPr>
            <w:tcW w:w="1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sz w:val="28"/>
                <w:szCs w:val="28"/>
              </w:rPr>
            </w:pPr>
            <w:r>
              <w:rPr>
                <w:b/>
                <w:bCs/>
                <w:sz w:val="28"/>
                <w:szCs w:val="28"/>
              </w:rPr>
              <w:t>Group</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sz w:val="28"/>
                <w:szCs w:val="28"/>
              </w:rPr>
            </w:pPr>
            <w:r>
              <w:rPr>
                <w:b/>
                <w:bCs/>
                <w:sz w:val="28"/>
                <w:szCs w:val="28"/>
              </w:rPr>
              <w:t>MOD</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sz w:val="28"/>
                <w:szCs w:val="28"/>
              </w:rPr>
            </w:pPr>
            <w:r>
              <w:rPr>
                <w:b/>
                <w:bCs/>
                <w:sz w:val="28"/>
                <w:szCs w:val="28"/>
              </w:rPr>
              <w:t>Issue</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sz w:val="28"/>
                <w:szCs w:val="28"/>
              </w:rPr>
            </w:pPr>
            <w:r>
              <w:rPr>
                <w:b/>
                <w:bCs/>
                <w:sz w:val="28"/>
                <w:szCs w:val="28"/>
              </w:rPr>
              <w:t>Comment</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Energy/Electrical</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3272"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9974</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EV (6/3 vote at EE and 4/4 at Energy)</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 xml:space="preserve">MDC - </w:t>
            </w:r>
            <w:r>
              <w:rPr>
                <w:u w:val="single"/>
              </w:rPr>
              <w:t>To be pulled by DBPR Staff.</w:t>
            </w:r>
          </w:p>
          <w:p w:rsidR="001F07D7" w:rsidRDefault="001F07D7">
            <w:pPr>
              <w:spacing w:line="252" w:lineRule="auto"/>
            </w:pPr>
            <w:r>
              <w:t>Needs to be pulled for consideration of A4 language to create Appendix  CC.</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10370</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EV</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MDC - Needs to be pulled for consideration of A3 language to create Appendix</w:t>
            </w:r>
            <w:proofErr w:type="gramStart"/>
            <w:r>
              <w:t>  RE</w:t>
            </w:r>
            <w:proofErr w:type="gramEnd"/>
            <w:r>
              <w:t>.</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rPr>
                <w:b/>
                <w:bCs/>
              </w:rPr>
            </w:pP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3272"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Roofing</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rPr>
                <w:b/>
                <w:bCs/>
              </w:rPr>
            </w:pP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3272"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9998</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RAS118/119/120 by M. Silvers</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 xml:space="preserve">MDC - Pull – Opposing the original modification disallowing the use of the RAS’ in the non-HVHZ.  Non-HVHZ 1507.3.  </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10176</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Self-Adhered in FBC 1518</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 xml:space="preserve">MDC - FRSA’s MOD needs to be pulled. Oppose original MOD and A1 and A2.  SA not supported for use in the HVHZ. </w:t>
            </w:r>
            <w:r>
              <w:rPr>
                <w:highlight w:val="yellow"/>
              </w:rPr>
              <w:t>(See proposed alternative language attached.)</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 xml:space="preserve">10066 </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Ref to TAS’ in non-HVHZ</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MDC - Pull – Opposing the original modification disallowing the use of the RAS’ in the non-HVHZ.  Non-HVHZ R905.3</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10175</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TAS103 M. Silvers – Structural Denied</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 xml:space="preserve">MDC - </w:t>
            </w:r>
            <w:r>
              <w:rPr>
                <w:u w:val="single"/>
              </w:rPr>
              <w:t>To be pulled by DBPR Staff.</w:t>
            </w:r>
            <w:r>
              <w:t xml:space="preserve"> Needs to be pulled to uphold denial by structural TAC.</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10093</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TAS103 – Gaspar’s MOD – Structural Approved</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 xml:space="preserve">MDC - </w:t>
            </w:r>
            <w:r>
              <w:rPr>
                <w:u w:val="single"/>
              </w:rPr>
              <w:t>To be pulled by DBPR Staff.</w:t>
            </w:r>
            <w:r>
              <w:t xml:space="preserve">  Needs to be pulled to support the MOD as revised to reflect MDC refined testing req. for </w:t>
            </w:r>
            <w:proofErr w:type="spellStart"/>
            <w:r>
              <w:t>underlayments</w:t>
            </w:r>
            <w:proofErr w:type="spellEnd"/>
            <w:r>
              <w:t xml:space="preserve">. </w:t>
            </w:r>
            <w:r>
              <w:rPr>
                <w:highlight w:val="yellow"/>
              </w:rPr>
              <w:t>(See proposed alternative language attached.)</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rPr>
                <w:b/>
                <w:bCs/>
              </w:rPr>
            </w:pP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3272"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FBC</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10211</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Plumbing/ Swimming Pool</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 xml:space="preserve">MDC - </w:t>
            </w:r>
            <w:r>
              <w:rPr>
                <w:u w:val="single"/>
              </w:rPr>
              <w:t>To be pulled by DBPR Staff</w:t>
            </w:r>
            <w:r>
              <w:t>. Needs to be pulled. Our opposition was not recorded. We do not support reducing restroom calculations.</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rPr>
                <w:b/>
                <w:bCs/>
              </w:rPr>
            </w:pPr>
            <w:r>
              <w:rPr>
                <w:b/>
                <w:bCs/>
              </w:rPr>
              <w:t>10323</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Plumbing/Swimming Pool</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F07D7" w:rsidRDefault="001F07D7">
            <w:pPr>
              <w:spacing w:line="252" w:lineRule="auto"/>
            </w:pPr>
            <w:r>
              <w:t xml:space="preserve">MDC - </w:t>
            </w:r>
            <w:r>
              <w:rPr>
                <w:u w:val="single"/>
              </w:rPr>
              <w:t>To be pulled by DBPR Staff</w:t>
            </w:r>
            <w:r>
              <w:t>. Needs to be pulled. We do not support adding this MOD for damp proofing to the plumbing code.</w:t>
            </w:r>
          </w:p>
        </w:tc>
      </w:tr>
      <w:tr w:rsidR="001F07D7" w:rsidTr="001F07D7">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rPr>
                <w:b/>
                <w:bCs/>
              </w:rPr>
            </w:pP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c>
          <w:tcPr>
            <w:tcW w:w="3272" w:type="dxa"/>
            <w:tcBorders>
              <w:top w:val="nil"/>
              <w:left w:val="nil"/>
              <w:bottom w:val="single" w:sz="8" w:space="0" w:color="auto"/>
              <w:right w:val="single" w:sz="8" w:space="0" w:color="auto"/>
            </w:tcBorders>
            <w:tcMar>
              <w:top w:w="0" w:type="dxa"/>
              <w:left w:w="108" w:type="dxa"/>
              <w:bottom w:w="0" w:type="dxa"/>
              <w:right w:w="108" w:type="dxa"/>
            </w:tcMar>
          </w:tcPr>
          <w:p w:rsidR="001F07D7" w:rsidRDefault="001F07D7">
            <w:pPr>
              <w:spacing w:line="252" w:lineRule="auto"/>
            </w:pPr>
          </w:p>
        </w:tc>
      </w:tr>
    </w:tbl>
    <w:p w:rsidR="001F07D7" w:rsidRDefault="001F07D7" w:rsidP="001F07D7"/>
    <w:p w:rsidR="001F07D7" w:rsidRDefault="001F07D7" w:rsidP="001F07D7">
      <w:r>
        <w:t>Please contact me if you have any questions.</w:t>
      </w:r>
    </w:p>
    <w:p w:rsidR="001F07D7" w:rsidRDefault="001F07D7" w:rsidP="001F07D7"/>
    <w:p w:rsidR="001F07D7" w:rsidRDefault="001F07D7" w:rsidP="001F07D7">
      <w:r>
        <w:t>Thank you for all your support and diligence.</w:t>
      </w:r>
    </w:p>
    <w:p w:rsidR="001F07D7" w:rsidRDefault="001F07D7" w:rsidP="001F07D7"/>
    <w:p w:rsidR="001F07D7" w:rsidRDefault="001F07D7" w:rsidP="001F07D7">
      <w:r>
        <w:t>Sincerely,</w:t>
      </w:r>
    </w:p>
    <w:p w:rsidR="001F07D7" w:rsidRDefault="001F07D7" w:rsidP="001F07D7"/>
    <w:p w:rsidR="001F07D7" w:rsidRDefault="001F07D7" w:rsidP="001F07D7">
      <w:pPr>
        <w:rPr>
          <w:rFonts w:ascii="Arial" w:hAnsi="Arial" w:cs="Arial"/>
          <w:b/>
          <w:bCs/>
          <w:color w:val="000000"/>
          <w:sz w:val="20"/>
          <w:szCs w:val="20"/>
          <w:lang w:val="es-US"/>
        </w:rPr>
      </w:pPr>
      <w:r>
        <w:rPr>
          <w:rFonts w:ascii="Arial" w:hAnsi="Arial" w:cs="Arial"/>
          <w:b/>
          <w:bCs/>
          <w:color w:val="000000"/>
          <w:sz w:val="20"/>
          <w:szCs w:val="20"/>
          <w:lang w:val="es-US"/>
        </w:rPr>
        <w:t>Jaime D. Gascon, P.E.</w:t>
      </w:r>
    </w:p>
    <w:p w:rsidR="001F07D7" w:rsidRDefault="001F07D7" w:rsidP="001F07D7">
      <w:pPr>
        <w:rPr>
          <w:rFonts w:ascii="Arial" w:hAnsi="Arial" w:cs="Arial"/>
          <w:sz w:val="18"/>
          <w:szCs w:val="18"/>
          <w:lang w:val="es-US"/>
        </w:rPr>
      </w:pPr>
      <w:r>
        <w:rPr>
          <w:rFonts w:ascii="Arial" w:hAnsi="Arial" w:cs="Arial"/>
          <w:sz w:val="20"/>
          <w:szCs w:val="20"/>
          <w:lang w:val="es-US"/>
        </w:rPr>
        <w:t xml:space="preserve">Director, </w:t>
      </w:r>
      <w:r>
        <w:rPr>
          <w:rFonts w:ascii="Arial" w:hAnsi="Arial" w:cs="Arial"/>
          <w:sz w:val="18"/>
          <w:szCs w:val="18"/>
        </w:rPr>
        <w:t>Board and Code Administration Division</w:t>
      </w:r>
    </w:p>
    <w:p w:rsidR="001F07D7" w:rsidRDefault="001F07D7" w:rsidP="001F07D7">
      <w:pPr>
        <w:rPr>
          <w:color w:val="1F497D"/>
        </w:rPr>
      </w:pPr>
      <w:r>
        <w:rPr>
          <w:rFonts w:ascii="Arial" w:hAnsi="Arial" w:cs="Arial"/>
          <w:b/>
          <w:bCs/>
          <w:sz w:val="20"/>
          <w:szCs w:val="20"/>
        </w:rPr>
        <w:t>Miami-Dade County Department of Regulatory and Economic Resources</w:t>
      </w:r>
      <w:r>
        <w:rPr>
          <w:rFonts w:ascii="Arial" w:hAnsi="Arial" w:cs="Arial"/>
          <w:b/>
          <w:bCs/>
          <w:color w:val="1F497D"/>
          <w:sz w:val="20"/>
          <w:szCs w:val="20"/>
        </w:rPr>
        <w:t xml:space="preserve"> </w:t>
      </w:r>
      <w:r>
        <w:rPr>
          <w:color w:val="1F497D"/>
        </w:rPr>
        <w:t> </w:t>
      </w:r>
    </w:p>
    <w:p w:rsidR="001F07D7" w:rsidRDefault="001F07D7" w:rsidP="001F07D7">
      <w:pPr>
        <w:rPr>
          <w:rFonts w:ascii="Arial" w:hAnsi="Arial" w:cs="Arial"/>
          <w:sz w:val="18"/>
          <w:szCs w:val="18"/>
          <w:lang w:val="en"/>
        </w:rPr>
      </w:pPr>
      <w:r>
        <w:rPr>
          <w:rFonts w:ascii="Arial" w:hAnsi="Arial" w:cs="Arial"/>
          <w:sz w:val="18"/>
          <w:szCs w:val="18"/>
          <w:lang w:val="en"/>
        </w:rPr>
        <w:t>11805 SW 26 St, Room 230</w:t>
      </w:r>
    </w:p>
    <w:p w:rsidR="001F07D7" w:rsidRDefault="001F07D7" w:rsidP="001F07D7">
      <w:pPr>
        <w:rPr>
          <w:rFonts w:ascii="Arial" w:hAnsi="Arial" w:cs="Arial"/>
          <w:sz w:val="18"/>
          <w:szCs w:val="18"/>
          <w:lang w:val="en"/>
        </w:rPr>
      </w:pPr>
      <w:r>
        <w:rPr>
          <w:rFonts w:ascii="Arial" w:hAnsi="Arial" w:cs="Arial"/>
          <w:sz w:val="18"/>
          <w:szCs w:val="18"/>
          <w:lang w:val="en"/>
        </w:rPr>
        <w:t>Miami, FL 33175-2474</w:t>
      </w:r>
    </w:p>
    <w:p w:rsidR="001F07D7" w:rsidRDefault="001F07D7" w:rsidP="001F07D7">
      <w:pPr>
        <w:rPr>
          <w:rFonts w:ascii="Arial" w:hAnsi="Arial" w:cs="Arial"/>
          <w:color w:val="000000"/>
          <w:sz w:val="20"/>
          <w:szCs w:val="20"/>
          <w:lang w:val="en"/>
        </w:rPr>
      </w:pPr>
      <w:proofErr w:type="gramStart"/>
      <w:r>
        <w:rPr>
          <w:rFonts w:ascii="Arial" w:hAnsi="Arial" w:cs="Arial"/>
          <w:sz w:val="18"/>
          <w:szCs w:val="18"/>
        </w:rPr>
        <w:t>Phone:</w:t>
      </w:r>
      <w:proofErr w:type="gramEnd"/>
      <w:r>
        <w:rPr>
          <w:rFonts w:ascii="Arial" w:hAnsi="Arial" w:cs="Arial"/>
          <w:sz w:val="18"/>
          <w:szCs w:val="18"/>
        </w:rPr>
        <w:t>(786) 315-2508</w:t>
      </w:r>
      <w:r>
        <w:rPr>
          <w:color w:val="1F497D"/>
          <w:sz w:val="18"/>
          <w:szCs w:val="18"/>
        </w:rPr>
        <w:br/>
      </w:r>
      <w:hyperlink r:id="rId5" w:history="1">
        <w:r>
          <w:rPr>
            <w:rStyle w:val="Hyperlink"/>
            <w:rFonts w:ascii="Arial" w:hAnsi="Arial" w:cs="Arial"/>
            <w:sz w:val="18"/>
            <w:szCs w:val="18"/>
          </w:rPr>
          <w:t>www</w:t>
        </w:r>
        <w:r>
          <w:rPr>
            <w:rStyle w:val="Hyperlink"/>
            <w:rFonts w:ascii="Arial" w:hAnsi="Arial" w:cs="Arial"/>
            <w:sz w:val="20"/>
            <w:szCs w:val="20"/>
          </w:rPr>
          <w:t>.</w:t>
        </w:r>
        <w:r>
          <w:rPr>
            <w:rStyle w:val="Hyperlink"/>
            <w:rFonts w:ascii="Arial" w:hAnsi="Arial" w:cs="Arial"/>
            <w:sz w:val="18"/>
            <w:szCs w:val="18"/>
          </w:rPr>
          <w:t>miamidade</w:t>
        </w:r>
        <w:r>
          <w:rPr>
            <w:rStyle w:val="Hyperlink"/>
            <w:rFonts w:ascii="Arial" w:hAnsi="Arial" w:cs="Arial"/>
            <w:sz w:val="20"/>
            <w:szCs w:val="20"/>
          </w:rPr>
          <w:t>.</w:t>
        </w:r>
        <w:r>
          <w:rPr>
            <w:rStyle w:val="Hyperlink"/>
            <w:rFonts w:ascii="Arial" w:hAnsi="Arial" w:cs="Arial"/>
            <w:sz w:val="18"/>
            <w:szCs w:val="18"/>
          </w:rPr>
          <w:t>gov</w:t>
        </w:r>
        <w:r>
          <w:rPr>
            <w:rStyle w:val="Hyperlink"/>
            <w:rFonts w:ascii="Arial" w:hAnsi="Arial" w:cs="Arial"/>
            <w:sz w:val="20"/>
            <w:szCs w:val="20"/>
          </w:rPr>
          <w:t>/</w:t>
        </w:r>
        <w:r>
          <w:rPr>
            <w:rStyle w:val="Hyperlink"/>
            <w:rFonts w:ascii="Arial" w:hAnsi="Arial" w:cs="Arial"/>
            <w:sz w:val="18"/>
            <w:szCs w:val="18"/>
          </w:rPr>
          <w:t>building</w:t>
        </w:r>
      </w:hyperlink>
    </w:p>
    <w:p w:rsidR="001F07D7" w:rsidRDefault="001F07D7" w:rsidP="001F07D7">
      <w:r>
        <w:rPr>
          <w:rFonts w:ascii="Arial" w:hAnsi="Arial" w:cs="Arial"/>
          <w:i/>
          <w:iCs/>
          <w:color w:val="1F497D"/>
          <w:sz w:val="20"/>
          <w:szCs w:val="20"/>
        </w:rPr>
        <w:t>Miami-Dade County is a public entity subject to Chapter 119 of the Florida Statutes concerning public records.  Email messages are covered under such laws and thus subject to disclosure.</w:t>
      </w:r>
    </w:p>
    <w:p w:rsidR="001F07D7" w:rsidRDefault="001F07D7" w:rsidP="001F07D7">
      <w:pPr>
        <w:rPr>
          <w:color w:val="000000"/>
        </w:rPr>
      </w:pPr>
    </w:p>
    <w:p w:rsidR="001F07D7" w:rsidRDefault="001F07D7" w:rsidP="001F07D7"/>
    <w:p w:rsidR="000D1BDB" w:rsidRDefault="000D1BDB" w:rsidP="000D1BDB">
      <w:pPr>
        <w:rPr>
          <w:b/>
          <w:bCs/>
        </w:rPr>
      </w:pPr>
      <w:r>
        <w:rPr>
          <w:b/>
          <w:bCs/>
        </w:rPr>
        <w:t xml:space="preserve">(R10093 Revised 11-16-22) </w:t>
      </w:r>
      <w:r w:rsidRPr="00772410">
        <w:rPr>
          <w:b/>
          <w:bCs/>
        </w:rPr>
        <w:t>Code Mod for</w:t>
      </w:r>
      <w:r>
        <w:rPr>
          <w:b/>
          <w:bCs/>
        </w:rPr>
        <w:t xml:space="preserve"> TAS 103 Section 7 Wind Uplift</w:t>
      </w:r>
    </w:p>
    <w:p w:rsidR="000D1BDB" w:rsidRDefault="000D1BDB" w:rsidP="000D1BDB">
      <w:pPr>
        <w:autoSpaceDE w:val="0"/>
        <w:autoSpaceDN w:val="0"/>
        <w:adjustRightInd w:val="0"/>
        <w:rPr>
          <w:rFonts w:ascii="TimesNewRoman,Bold" w:hAnsi="TimesNewRoman,Bold" w:cs="TimesNewRoman,Bold"/>
          <w:b/>
          <w:bCs/>
          <w:sz w:val="24"/>
          <w:szCs w:val="24"/>
        </w:rPr>
      </w:pPr>
      <w:r w:rsidRPr="00E53012">
        <w:rPr>
          <w:rFonts w:ascii="TimesNewRoman,Bold" w:hAnsi="TimesNewRoman,Bold" w:cs="TimesNewRoman,Bold"/>
          <w:b/>
          <w:bCs/>
          <w:sz w:val="24"/>
          <w:szCs w:val="24"/>
        </w:rPr>
        <w:t>7. Wind Uplift</w:t>
      </w:r>
    </w:p>
    <w:p w:rsidR="000D1BDB" w:rsidRPr="00DF7C93" w:rsidRDefault="000D1BDB" w:rsidP="000D1BDB">
      <w:pPr>
        <w:autoSpaceDE w:val="0"/>
        <w:autoSpaceDN w:val="0"/>
        <w:adjustRightInd w:val="0"/>
        <w:rPr>
          <w:rFonts w:ascii="TimesNewRoman,Bold" w:hAnsi="TimesNewRoman,Bold" w:cs="TimesNewRoman,Bold"/>
          <w:b/>
          <w:bCs/>
          <w:sz w:val="8"/>
          <w:szCs w:val="8"/>
        </w:rPr>
      </w:pPr>
    </w:p>
    <w:p w:rsidR="000D1BDB" w:rsidRDefault="000D1BDB" w:rsidP="000D1BDB">
      <w:pPr>
        <w:pStyle w:val="NoSpacing"/>
        <w:rPr>
          <w:sz w:val="24"/>
          <w:szCs w:val="24"/>
        </w:rPr>
      </w:pPr>
      <w:r w:rsidRPr="00E53012">
        <w:rPr>
          <w:sz w:val="24"/>
          <w:szCs w:val="24"/>
        </w:rPr>
        <w:t xml:space="preserve">7.1  </w:t>
      </w:r>
    </w:p>
    <w:p w:rsidR="000D1BDB" w:rsidRPr="00370B37" w:rsidRDefault="000D1BDB" w:rsidP="000D1BDB">
      <w:pPr>
        <w:pStyle w:val="NoSpacing"/>
        <w:rPr>
          <w:sz w:val="24"/>
          <w:szCs w:val="24"/>
        </w:rPr>
      </w:pPr>
      <w:r w:rsidRPr="00370B37">
        <w:rPr>
          <w:sz w:val="24"/>
          <w:szCs w:val="24"/>
        </w:rPr>
        <w:t xml:space="preserve">This test covers the determination of the wind uplift resistance of materials specified in Section 1 of this Protocol in accordance with </w:t>
      </w:r>
      <w:r w:rsidRPr="00370B37">
        <w:rPr>
          <w:strike/>
          <w:sz w:val="24"/>
          <w:szCs w:val="24"/>
        </w:rPr>
        <w:t>TAS 124</w:t>
      </w:r>
      <w:r w:rsidRPr="00370B37">
        <w:rPr>
          <w:sz w:val="24"/>
          <w:szCs w:val="24"/>
        </w:rPr>
        <w:t xml:space="preserve"> </w:t>
      </w:r>
      <w:r w:rsidRPr="00370B37">
        <w:rPr>
          <w:sz w:val="24"/>
          <w:szCs w:val="24"/>
          <w:u w:val="single"/>
        </w:rPr>
        <w:t>one of the specified test methods</w:t>
      </w:r>
      <w:r w:rsidRPr="00370B37">
        <w:rPr>
          <w:sz w:val="24"/>
          <w:szCs w:val="24"/>
        </w:rPr>
        <w:t xml:space="preserve"> </w:t>
      </w:r>
      <w:r w:rsidRPr="00370B37">
        <w:rPr>
          <w:strike/>
          <w:sz w:val="24"/>
          <w:szCs w:val="24"/>
        </w:rPr>
        <w:t>except</w:t>
      </w:r>
      <w:r w:rsidRPr="00370B37">
        <w:rPr>
          <w:sz w:val="24"/>
          <w:szCs w:val="24"/>
        </w:rPr>
        <w:t xml:space="preserve"> as noted </w:t>
      </w:r>
      <w:r w:rsidRPr="00370B37">
        <w:rPr>
          <w:sz w:val="24"/>
          <w:szCs w:val="24"/>
          <w:u w:val="single"/>
        </w:rPr>
        <w:t>and modified</w:t>
      </w:r>
      <w:r w:rsidRPr="00370B37">
        <w:rPr>
          <w:sz w:val="24"/>
          <w:szCs w:val="24"/>
        </w:rPr>
        <w:t xml:space="preserve"> below.</w:t>
      </w:r>
    </w:p>
    <w:p w:rsidR="000D1BDB" w:rsidRPr="00370B37" w:rsidRDefault="000D1BDB" w:rsidP="000D1BDB">
      <w:pPr>
        <w:rPr>
          <w:rFonts w:eastAsia="Calibri"/>
          <w:u w:val="single"/>
        </w:rPr>
      </w:pPr>
      <w:r w:rsidRPr="00370B37">
        <w:rPr>
          <w:rFonts w:eastAsia="Calibri"/>
        </w:rPr>
        <w:t xml:space="preserve">  </w:t>
      </w:r>
      <w:r w:rsidRPr="00370B37">
        <w:rPr>
          <w:rFonts w:eastAsia="Calibri"/>
          <w:u w:val="single"/>
        </w:rPr>
        <w:t xml:space="preserve">Any of the following Uplift Testing will be </w:t>
      </w:r>
      <w:proofErr w:type="gramStart"/>
      <w:r w:rsidRPr="00370B37">
        <w:rPr>
          <w:rFonts w:eastAsia="Calibri"/>
          <w:u w:val="single"/>
        </w:rPr>
        <w:t>Accepted</w:t>
      </w:r>
      <w:proofErr w:type="gramEnd"/>
      <w:r w:rsidRPr="00370B37">
        <w:rPr>
          <w:rFonts w:eastAsia="Calibri"/>
          <w:u w:val="single"/>
        </w:rPr>
        <w:t>:</w:t>
      </w:r>
    </w:p>
    <w:p w:rsidR="000D1BDB" w:rsidRPr="00370B37" w:rsidRDefault="000D1BDB" w:rsidP="000D1BDB">
      <w:pPr>
        <w:rPr>
          <w:rFonts w:eastAsia="Calibri"/>
          <w:sz w:val="4"/>
          <w:szCs w:val="4"/>
          <w:u w:val="single"/>
        </w:rPr>
      </w:pPr>
    </w:p>
    <w:p w:rsidR="000D1BDB" w:rsidRPr="00370B37" w:rsidRDefault="000D1BDB" w:rsidP="000D1BDB">
      <w:pPr>
        <w:pStyle w:val="ListParagraph"/>
        <w:numPr>
          <w:ilvl w:val="0"/>
          <w:numId w:val="1"/>
        </w:numPr>
        <w:spacing w:after="0" w:line="240" w:lineRule="auto"/>
        <w:ind w:left="720" w:hanging="360"/>
        <w:rPr>
          <w:rFonts w:ascii="Calibri" w:eastAsia="Calibri" w:hAnsi="Calibri" w:cs="Calibri"/>
          <w:u w:val="single"/>
        </w:rPr>
      </w:pPr>
      <w:r w:rsidRPr="00370B37">
        <w:rPr>
          <w:rFonts w:ascii="Calibri" w:eastAsia="Calibri" w:hAnsi="Calibri" w:cs="Calibri"/>
          <w:u w:val="single"/>
        </w:rPr>
        <w:t>ANSI FM 4474 Appendix C (5’ X 9’) 3 specimens</w:t>
      </w:r>
    </w:p>
    <w:p w:rsidR="000D1BDB" w:rsidRPr="00370B37" w:rsidRDefault="000D1BDB" w:rsidP="000D1BDB">
      <w:pPr>
        <w:pStyle w:val="ListParagraph"/>
        <w:numPr>
          <w:ilvl w:val="0"/>
          <w:numId w:val="1"/>
        </w:numPr>
        <w:spacing w:after="0" w:line="240" w:lineRule="auto"/>
        <w:ind w:left="720" w:hanging="360"/>
        <w:rPr>
          <w:rFonts w:ascii="Calibri" w:eastAsia="Calibri" w:hAnsi="Calibri" w:cs="Calibri"/>
          <w:u w:val="single"/>
        </w:rPr>
      </w:pPr>
      <w:r w:rsidRPr="00370B37">
        <w:rPr>
          <w:rFonts w:ascii="Calibri" w:eastAsia="Calibri" w:hAnsi="Calibri" w:cs="Calibri"/>
          <w:u w:val="single"/>
        </w:rPr>
        <w:lastRenderedPageBreak/>
        <w:t>ANSI FM 4474 Appendix D (12’ X 24’) 1 specimen</w:t>
      </w:r>
    </w:p>
    <w:p w:rsidR="000D1BDB" w:rsidRPr="00370B37" w:rsidRDefault="000D1BDB" w:rsidP="000D1BDB">
      <w:pPr>
        <w:pStyle w:val="ListParagraph"/>
        <w:numPr>
          <w:ilvl w:val="0"/>
          <w:numId w:val="1"/>
        </w:numPr>
        <w:spacing w:after="0" w:line="240" w:lineRule="auto"/>
        <w:ind w:left="720" w:hanging="360"/>
        <w:rPr>
          <w:rFonts w:ascii="Calibri" w:eastAsia="Calibri" w:hAnsi="Calibri" w:cs="Calibri"/>
          <w:u w:val="single"/>
        </w:rPr>
      </w:pPr>
      <w:r w:rsidRPr="00370B37">
        <w:rPr>
          <w:rFonts w:ascii="Calibri" w:eastAsia="Calibri" w:hAnsi="Calibri" w:cs="Calibri"/>
          <w:u w:val="single"/>
        </w:rPr>
        <w:t>UL 1897 (10’ X 10’) 3 specimens</w:t>
      </w:r>
    </w:p>
    <w:p w:rsidR="000D1BDB" w:rsidRPr="00370B37" w:rsidRDefault="000D1BDB" w:rsidP="000D1BDB">
      <w:pPr>
        <w:pStyle w:val="ListParagraph"/>
        <w:numPr>
          <w:ilvl w:val="0"/>
          <w:numId w:val="1"/>
        </w:numPr>
        <w:spacing w:after="0" w:line="240" w:lineRule="auto"/>
        <w:ind w:left="720" w:hanging="360"/>
        <w:rPr>
          <w:rFonts w:ascii="Calibri" w:eastAsia="Calibri" w:hAnsi="Calibri" w:cs="Calibri"/>
          <w:u w:val="single"/>
        </w:rPr>
      </w:pPr>
      <w:r w:rsidRPr="00370B37">
        <w:rPr>
          <w:rFonts w:ascii="Calibri" w:eastAsia="Calibri" w:hAnsi="Calibri" w:cs="Calibri"/>
          <w:u w:val="single"/>
        </w:rPr>
        <w:t>TAS 114 Appendix C (5’ X 9’) 3 specimens</w:t>
      </w:r>
    </w:p>
    <w:p w:rsidR="000D1BDB" w:rsidRPr="00370B37" w:rsidRDefault="000D1BDB" w:rsidP="000D1BDB">
      <w:pPr>
        <w:pStyle w:val="NoSpacing"/>
        <w:numPr>
          <w:ilvl w:val="0"/>
          <w:numId w:val="1"/>
        </w:numPr>
        <w:ind w:left="720" w:hanging="360"/>
        <w:rPr>
          <w:sz w:val="24"/>
          <w:szCs w:val="24"/>
          <w:u w:val="single"/>
        </w:rPr>
      </w:pPr>
      <w:r w:rsidRPr="00370B37">
        <w:rPr>
          <w:rFonts w:ascii="Calibri" w:eastAsia="Calibri" w:hAnsi="Calibri" w:cs="Calibri"/>
          <w:u w:val="single"/>
        </w:rPr>
        <w:t>TAS 114 Appendix J (12’ X 24’) 1 specimen</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7.1.1  </w:t>
      </w:r>
    </w:p>
    <w:p w:rsidR="000D1BDB" w:rsidRPr="00370B37" w:rsidRDefault="000D1BDB" w:rsidP="000D1BDB">
      <w:pPr>
        <w:pStyle w:val="NoSpacing"/>
        <w:rPr>
          <w:sz w:val="24"/>
          <w:szCs w:val="24"/>
        </w:rPr>
      </w:pPr>
      <w:r w:rsidRPr="00370B37">
        <w:rPr>
          <w:sz w:val="24"/>
          <w:szCs w:val="24"/>
        </w:rPr>
        <w:t>Test Deck Construction</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7.1.1.1  </w:t>
      </w:r>
    </w:p>
    <w:p w:rsidR="000D1BDB" w:rsidRPr="00370B37" w:rsidRDefault="000D1BDB" w:rsidP="000D1BDB">
      <w:pPr>
        <w:pStyle w:val="NoSpacing"/>
        <w:rPr>
          <w:sz w:val="24"/>
          <w:szCs w:val="24"/>
        </w:rPr>
      </w:pPr>
      <w:r w:rsidRPr="00370B37">
        <w:rPr>
          <w:sz w:val="24"/>
          <w:szCs w:val="24"/>
        </w:rPr>
        <w:t xml:space="preserve">Test is being conducted on materials noted in Section 1 of this Protocol; therefore, any reference to “roof membrane” </w:t>
      </w:r>
      <w:r w:rsidRPr="00370B37">
        <w:rPr>
          <w:strike/>
          <w:sz w:val="24"/>
          <w:szCs w:val="24"/>
        </w:rPr>
        <w:t>in TAS 124</w:t>
      </w:r>
      <w:r w:rsidRPr="00370B37">
        <w:rPr>
          <w:sz w:val="24"/>
          <w:szCs w:val="24"/>
        </w:rPr>
        <w:t xml:space="preserve"> shall be regarded as ‘underlayment.’</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7.1.1.2  </w:t>
      </w:r>
    </w:p>
    <w:p w:rsidR="000D1BDB" w:rsidRPr="00370B37" w:rsidRDefault="000D1BDB" w:rsidP="000D1BDB">
      <w:pPr>
        <w:pStyle w:val="NoSpacing"/>
        <w:rPr>
          <w:sz w:val="24"/>
          <w:szCs w:val="24"/>
        </w:rPr>
      </w:pPr>
      <w:r w:rsidRPr="00370B37">
        <w:rPr>
          <w:strike/>
          <w:sz w:val="24"/>
          <w:szCs w:val="24"/>
        </w:rPr>
        <w:t>Four (4) 8' × 8'</w:t>
      </w:r>
      <w:r w:rsidRPr="00370B37">
        <w:rPr>
          <w:sz w:val="24"/>
          <w:szCs w:val="24"/>
        </w:rPr>
        <w:t xml:space="preserve"> </w:t>
      </w:r>
      <w:proofErr w:type="spellStart"/>
      <w:r w:rsidRPr="00370B37">
        <w:rPr>
          <w:strike/>
          <w:sz w:val="24"/>
          <w:szCs w:val="24"/>
        </w:rPr>
        <w:t>t</w:t>
      </w:r>
      <w:r w:rsidRPr="00370B37">
        <w:rPr>
          <w:sz w:val="24"/>
          <w:szCs w:val="24"/>
          <w:u w:val="single"/>
        </w:rPr>
        <w:t>Number</w:t>
      </w:r>
      <w:proofErr w:type="spellEnd"/>
      <w:r w:rsidRPr="00370B37">
        <w:rPr>
          <w:sz w:val="24"/>
          <w:szCs w:val="24"/>
        </w:rPr>
        <w:t xml:space="preserve"> </w:t>
      </w:r>
      <w:r w:rsidRPr="00370B37">
        <w:rPr>
          <w:sz w:val="24"/>
          <w:szCs w:val="24"/>
          <w:u w:val="single"/>
        </w:rPr>
        <w:t>of test specimens</w:t>
      </w:r>
      <w:r w:rsidRPr="00370B37">
        <w:rPr>
          <w:sz w:val="24"/>
          <w:szCs w:val="24"/>
        </w:rPr>
        <w:t xml:space="preserve"> </w:t>
      </w:r>
      <w:r w:rsidRPr="00370B37">
        <w:rPr>
          <w:sz w:val="24"/>
          <w:szCs w:val="24"/>
          <w:u w:val="single"/>
        </w:rPr>
        <w:t>will be as specified in 7.1 for the testing method</w:t>
      </w:r>
      <w:r w:rsidRPr="00370B37">
        <w:rPr>
          <w:sz w:val="24"/>
          <w:szCs w:val="24"/>
        </w:rPr>
        <w:t xml:space="preserve"> </w:t>
      </w:r>
      <w:r w:rsidRPr="00370B37">
        <w:rPr>
          <w:sz w:val="24"/>
          <w:szCs w:val="24"/>
          <w:u w:val="single"/>
        </w:rPr>
        <w:t>chosen.</w:t>
      </w:r>
      <w:r w:rsidRPr="00370B37">
        <w:rPr>
          <w:sz w:val="24"/>
          <w:szCs w:val="24"/>
        </w:rPr>
        <w:t xml:space="preserve"> </w:t>
      </w:r>
      <w:r w:rsidRPr="00370B37">
        <w:rPr>
          <w:sz w:val="24"/>
          <w:szCs w:val="24"/>
          <w:u w:val="single"/>
        </w:rPr>
        <w:t>T</w:t>
      </w:r>
      <w:r w:rsidRPr="00370B37">
        <w:rPr>
          <w:sz w:val="24"/>
          <w:szCs w:val="24"/>
        </w:rPr>
        <w:t xml:space="preserve">est decks shall be constructed of 40/20 </w:t>
      </w:r>
      <w:r w:rsidRPr="00370B37">
        <w:rPr>
          <w:sz w:val="24"/>
          <w:szCs w:val="24"/>
          <w:u w:val="single"/>
        </w:rPr>
        <w:t>span rated</w:t>
      </w:r>
      <w:r w:rsidRPr="00370B37">
        <w:rPr>
          <w:sz w:val="24"/>
          <w:szCs w:val="24"/>
        </w:rPr>
        <w:t xml:space="preserve"> 19/32 in. </w:t>
      </w:r>
      <w:r w:rsidRPr="00370B37">
        <w:rPr>
          <w:sz w:val="24"/>
          <w:szCs w:val="24"/>
          <w:u w:val="single"/>
        </w:rPr>
        <w:t xml:space="preserve">thick </w:t>
      </w:r>
      <w:r w:rsidRPr="00370B37">
        <w:rPr>
          <w:sz w:val="24"/>
          <w:szCs w:val="24"/>
        </w:rPr>
        <w:t xml:space="preserve">APA Rated Plywood Sheathing attached to wood joists spaced 24 </w:t>
      </w:r>
      <w:proofErr w:type="spellStart"/>
      <w:r w:rsidRPr="00370B37">
        <w:rPr>
          <w:sz w:val="24"/>
          <w:szCs w:val="24"/>
        </w:rPr>
        <w:t>o.c</w:t>
      </w:r>
      <w:proofErr w:type="spellEnd"/>
      <w:r w:rsidRPr="00370B37">
        <w:rPr>
          <w:sz w:val="24"/>
          <w:szCs w:val="24"/>
        </w:rPr>
        <w:t xml:space="preserve">. </w:t>
      </w:r>
      <w:r w:rsidRPr="00370B37">
        <w:rPr>
          <w:strike/>
          <w:sz w:val="24"/>
          <w:szCs w:val="24"/>
        </w:rPr>
        <w:t>Each test deck shall consist of four (4) panels of said sheathing, the corners of which shall meet at the center of each test deck, leaving a 1/8 in. gap between panels.</w:t>
      </w:r>
      <w:r w:rsidRPr="00370B37">
        <w:rPr>
          <w:sz w:val="24"/>
          <w:szCs w:val="24"/>
        </w:rPr>
        <w:t xml:space="preserve"> </w:t>
      </w:r>
      <w:r w:rsidRPr="00370B37">
        <w:rPr>
          <w:sz w:val="24"/>
          <w:szCs w:val="24"/>
          <w:u w:val="single"/>
        </w:rPr>
        <w:t xml:space="preserve">Plywood Sheathing shall be attached to wood joists with 8d ring shank nails spaced 6” </w:t>
      </w:r>
      <w:proofErr w:type="spellStart"/>
      <w:r w:rsidRPr="00370B37">
        <w:rPr>
          <w:sz w:val="24"/>
          <w:szCs w:val="24"/>
          <w:u w:val="single"/>
        </w:rPr>
        <w:t>o.c</w:t>
      </w:r>
      <w:proofErr w:type="spellEnd"/>
      <w:r w:rsidRPr="00370B37">
        <w:rPr>
          <w:sz w:val="24"/>
          <w:szCs w:val="24"/>
          <w:u w:val="single"/>
        </w:rPr>
        <w:t>. at the panel edges and at intermediate supports.</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7.1.1.3  </w:t>
      </w:r>
    </w:p>
    <w:p w:rsidR="000D1BDB" w:rsidRPr="00370B37" w:rsidRDefault="000D1BDB" w:rsidP="000D1BDB">
      <w:pPr>
        <w:pStyle w:val="NoSpacing"/>
        <w:rPr>
          <w:sz w:val="24"/>
          <w:szCs w:val="24"/>
        </w:rPr>
      </w:pPr>
      <w:r w:rsidRPr="00370B37">
        <w:rPr>
          <w:sz w:val="24"/>
          <w:szCs w:val="24"/>
          <w:u w:val="single"/>
        </w:rPr>
        <w:t>To each specimen</w:t>
      </w:r>
      <w:r w:rsidRPr="00370B37">
        <w:rPr>
          <w:sz w:val="24"/>
          <w:szCs w:val="24"/>
        </w:rPr>
        <w:t xml:space="preserve"> </w:t>
      </w:r>
      <w:proofErr w:type="spellStart"/>
      <w:r w:rsidRPr="00370B37">
        <w:rPr>
          <w:strike/>
          <w:sz w:val="24"/>
          <w:szCs w:val="24"/>
        </w:rPr>
        <w:t>A</w:t>
      </w:r>
      <w:r w:rsidRPr="00370B37">
        <w:rPr>
          <w:sz w:val="24"/>
          <w:szCs w:val="24"/>
          <w:u w:val="single"/>
        </w:rPr>
        <w:t>a</w:t>
      </w:r>
      <w:r w:rsidRPr="00370B37">
        <w:rPr>
          <w:sz w:val="24"/>
          <w:szCs w:val="24"/>
        </w:rPr>
        <w:t>dhere</w:t>
      </w:r>
      <w:proofErr w:type="spellEnd"/>
      <w:r w:rsidRPr="00370B37">
        <w:rPr>
          <w:sz w:val="24"/>
          <w:szCs w:val="24"/>
        </w:rPr>
        <w:t xml:space="preserve"> one (1) layer of </w:t>
      </w:r>
      <w:r w:rsidRPr="00370B37">
        <w:rPr>
          <w:sz w:val="24"/>
          <w:szCs w:val="24"/>
          <w:u w:val="single"/>
        </w:rPr>
        <w:t>the proposed TAS 103 self-adhered</w:t>
      </w:r>
      <w:r w:rsidRPr="00370B37">
        <w:rPr>
          <w:sz w:val="24"/>
          <w:szCs w:val="24"/>
        </w:rPr>
        <w:t xml:space="preserve"> underlayment </w:t>
      </w:r>
      <w:r w:rsidRPr="00370B37">
        <w:rPr>
          <w:sz w:val="24"/>
          <w:szCs w:val="24"/>
          <w:u w:val="single"/>
        </w:rPr>
        <w:t>onto a mechanically attached approved or prescriptive anchor sheet, which will be included within the product approval’s scope of use.</w:t>
      </w:r>
      <w:r w:rsidRPr="00370B37">
        <w:rPr>
          <w:sz w:val="24"/>
          <w:szCs w:val="24"/>
        </w:rPr>
        <w:t xml:space="preserve"> </w:t>
      </w:r>
      <w:proofErr w:type="gramStart"/>
      <w:r w:rsidRPr="00370B37">
        <w:rPr>
          <w:strike/>
          <w:sz w:val="24"/>
          <w:szCs w:val="24"/>
        </w:rPr>
        <w:t>to</w:t>
      </w:r>
      <w:proofErr w:type="gramEnd"/>
      <w:r w:rsidRPr="00370B37">
        <w:rPr>
          <w:strike/>
          <w:sz w:val="24"/>
          <w:szCs w:val="24"/>
        </w:rPr>
        <w:t xml:space="preserve"> each test deck.</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7.1.2  </w:t>
      </w:r>
    </w:p>
    <w:p w:rsidR="000D1BDB" w:rsidRPr="00370B37" w:rsidRDefault="000D1BDB" w:rsidP="000D1BDB">
      <w:pPr>
        <w:pStyle w:val="NoSpacing"/>
        <w:rPr>
          <w:sz w:val="24"/>
          <w:szCs w:val="24"/>
        </w:rPr>
      </w:pPr>
      <w:r w:rsidRPr="00370B37">
        <w:rPr>
          <w:sz w:val="24"/>
          <w:szCs w:val="24"/>
        </w:rPr>
        <w:t>Procedure</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7.1.2.1  </w:t>
      </w:r>
    </w:p>
    <w:p w:rsidR="000D1BDB" w:rsidRPr="00370B37" w:rsidRDefault="000D1BDB" w:rsidP="000D1BDB">
      <w:pPr>
        <w:pStyle w:val="NoSpacing"/>
        <w:rPr>
          <w:sz w:val="24"/>
          <w:szCs w:val="24"/>
        </w:rPr>
      </w:pPr>
      <w:r w:rsidRPr="00370B37">
        <w:rPr>
          <w:sz w:val="24"/>
          <w:szCs w:val="24"/>
        </w:rPr>
        <w:t>Test shall be</w:t>
      </w:r>
      <w:r w:rsidRPr="00370B37">
        <w:rPr>
          <w:strike/>
          <w:sz w:val="24"/>
          <w:szCs w:val="24"/>
        </w:rPr>
        <w:t xml:space="preserve"> a</w:t>
      </w:r>
      <w:r w:rsidRPr="00370B37">
        <w:rPr>
          <w:sz w:val="24"/>
          <w:szCs w:val="24"/>
        </w:rPr>
        <w:t xml:space="preserve"> </w:t>
      </w:r>
      <w:r w:rsidRPr="00370B37">
        <w:rPr>
          <w:sz w:val="24"/>
          <w:szCs w:val="24"/>
          <w:u w:val="single"/>
        </w:rPr>
        <w:t>performed in an approved</w:t>
      </w:r>
      <w:r w:rsidRPr="00370B37">
        <w:rPr>
          <w:sz w:val="24"/>
          <w:szCs w:val="24"/>
        </w:rPr>
        <w:t xml:space="preserve"> laboratory. </w:t>
      </w:r>
      <w:proofErr w:type="gramStart"/>
      <w:r w:rsidRPr="00370B37">
        <w:rPr>
          <w:strike/>
          <w:sz w:val="24"/>
          <w:szCs w:val="24"/>
        </w:rPr>
        <w:t>test</w:t>
      </w:r>
      <w:proofErr w:type="gramEnd"/>
      <w:r w:rsidRPr="00370B37">
        <w:rPr>
          <w:strike/>
          <w:sz w:val="24"/>
          <w:szCs w:val="24"/>
        </w:rPr>
        <w:t xml:space="preserve"> not a field test; therefore, any instruction in TAS 124 which references “building or outdoor conditions” shall be regarded as “laboratory conditions.”</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7.1.2.2  </w:t>
      </w:r>
    </w:p>
    <w:p w:rsidR="000D1BDB" w:rsidRPr="00370B37" w:rsidRDefault="000D1BDB" w:rsidP="000D1BDB">
      <w:pPr>
        <w:pStyle w:val="NoSpacing"/>
        <w:rPr>
          <w:sz w:val="24"/>
          <w:szCs w:val="24"/>
        </w:rPr>
      </w:pPr>
      <w:r w:rsidRPr="00370B37">
        <w:rPr>
          <w:sz w:val="24"/>
          <w:szCs w:val="24"/>
        </w:rPr>
        <w:t xml:space="preserve">Regulate the negative pressure in the chamber. Begin by raising the negative pressure in the chamber to 30 </w:t>
      </w:r>
      <w:proofErr w:type="spellStart"/>
      <w:r w:rsidRPr="00370B37">
        <w:rPr>
          <w:sz w:val="24"/>
          <w:szCs w:val="24"/>
        </w:rPr>
        <w:t>lbf</w:t>
      </w:r>
      <w:proofErr w:type="spellEnd"/>
      <w:r w:rsidRPr="00370B37">
        <w:rPr>
          <w:sz w:val="24"/>
          <w:szCs w:val="24"/>
        </w:rPr>
        <w:t xml:space="preserve">/ft2 and holding this pressure for one (1) minute. Thereafter, raise the negative pressure in increments of 15 </w:t>
      </w:r>
      <w:proofErr w:type="spellStart"/>
      <w:r w:rsidRPr="00370B37">
        <w:rPr>
          <w:sz w:val="24"/>
          <w:szCs w:val="24"/>
        </w:rPr>
        <w:t>lbf</w:t>
      </w:r>
      <w:proofErr w:type="spellEnd"/>
      <w:r w:rsidRPr="00370B37">
        <w:rPr>
          <w:sz w:val="24"/>
          <w:szCs w:val="24"/>
        </w:rPr>
        <w:t xml:space="preserve">/ft2, holding each incremented pressure for one (1) minute, until the negative pressure has been held at 90 </w:t>
      </w:r>
      <w:proofErr w:type="spellStart"/>
      <w:r w:rsidRPr="00370B37">
        <w:rPr>
          <w:sz w:val="24"/>
          <w:szCs w:val="24"/>
        </w:rPr>
        <w:t>lbf</w:t>
      </w:r>
      <w:proofErr w:type="spellEnd"/>
      <w:r w:rsidRPr="00370B37">
        <w:rPr>
          <w:sz w:val="24"/>
          <w:szCs w:val="24"/>
        </w:rPr>
        <w:t xml:space="preserve">/ft2 for one (1) minute. </w:t>
      </w:r>
      <w:r w:rsidRPr="00370B37">
        <w:rPr>
          <w:sz w:val="24"/>
          <w:szCs w:val="24"/>
          <w:u w:val="single"/>
        </w:rPr>
        <w:t xml:space="preserve">Continue raising the negative pressure in 15 </w:t>
      </w:r>
      <w:proofErr w:type="spellStart"/>
      <w:r w:rsidRPr="00370B37">
        <w:rPr>
          <w:sz w:val="24"/>
          <w:szCs w:val="24"/>
          <w:u w:val="single"/>
        </w:rPr>
        <w:t>lbf</w:t>
      </w:r>
      <w:proofErr w:type="spellEnd"/>
      <w:r w:rsidRPr="00370B37">
        <w:rPr>
          <w:sz w:val="24"/>
          <w:szCs w:val="24"/>
          <w:u w:val="single"/>
        </w:rPr>
        <w:t>/ft2 increments and holding each incremented pressure for one (1) minute, until failure occurs.</w:t>
      </w:r>
      <w:r w:rsidRPr="00370B37">
        <w:rPr>
          <w:sz w:val="24"/>
          <w:szCs w:val="24"/>
        </w:rPr>
        <w:t xml:space="preserve"> </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7.1.3  </w:t>
      </w:r>
    </w:p>
    <w:p w:rsidR="000D1BDB" w:rsidRPr="00370B37" w:rsidRDefault="000D1BDB" w:rsidP="000D1BDB">
      <w:pPr>
        <w:pStyle w:val="NoSpacing"/>
        <w:rPr>
          <w:sz w:val="24"/>
          <w:szCs w:val="24"/>
        </w:rPr>
      </w:pPr>
      <w:r w:rsidRPr="00370B37">
        <w:rPr>
          <w:sz w:val="24"/>
          <w:szCs w:val="24"/>
        </w:rPr>
        <w:t>Report</w:t>
      </w:r>
      <w:r w:rsidRPr="00370B37">
        <w:t xml:space="preserve"> </w:t>
      </w:r>
      <w:r w:rsidRPr="00370B37">
        <w:rPr>
          <w:sz w:val="24"/>
          <w:szCs w:val="24"/>
          <w:u w:val="single"/>
        </w:rPr>
        <w:t>results in accordance with the testing method chosen and as specified herein.</w:t>
      </w:r>
    </w:p>
    <w:p w:rsidR="000D1BDB" w:rsidRPr="00370B37" w:rsidRDefault="000D1BDB" w:rsidP="000D1BDB">
      <w:pPr>
        <w:pStyle w:val="NoSpacing"/>
        <w:rPr>
          <w:sz w:val="8"/>
          <w:szCs w:val="8"/>
        </w:rPr>
      </w:pPr>
    </w:p>
    <w:p w:rsidR="000D1BDB" w:rsidRPr="00370B37" w:rsidRDefault="000D1BDB" w:rsidP="000D1BDB">
      <w:pPr>
        <w:pStyle w:val="NoSpacing"/>
        <w:rPr>
          <w:sz w:val="24"/>
          <w:szCs w:val="24"/>
        </w:rPr>
      </w:pPr>
      <w:r w:rsidRPr="00370B37">
        <w:rPr>
          <w:sz w:val="24"/>
          <w:szCs w:val="24"/>
        </w:rPr>
        <w:t xml:space="preserve">7.1.3.1  </w:t>
      </w:r>
    </w:p>
    <w:p w:rsidR="000D1BDB" w:rsidRPr="00370B37" w:rsidRDefault="000D1BDB" w:rsidP="000D1BDB">
      <w:pPr>
        <w:pStyle w:val="NoSpacing"/>
        <w:rPr>
          <w:sz w:val="24"/>
          <w:szCs w:val="24"/>
          <w:u w:val="single"/>
        </w:rPr>
      </w:pPr>
      <w:r w:rsidRPr="00370B37">
        <w:rPr>
          <w:sz w:val="24"/>
          <w:szCs w:val="24"/>
        </w:rPr>
        <w:t xml:space="preserve">Any test specimen which exhibits any significant separation between the membrane and tested </w:t>
      </w:r>
      <w:r w:rsidRPr="00370B37">
        <w:rPr>
          <w:strike/>
          <w:sz w:val="24"/>
          <w:szCs w:val="24"/>
        </w:rPr>
        <w:t>substrate</w:t>
      </w:r>
      <w:r w:rsidRPr="00370B37">
        <w:rPr>
          <w:sz w:val="24"/>
          <w:szCs w:val="24"/>
        </w:rPr>
        <w:t xml:space="preserve"> </w:t>
      </w:r>
      <w:r w:rsidRPr="00370B37">
        <w:rPr>
          <w:sz w:val="24"/>
          <w:szCs w:val="24"/>
          <w:u w:val="single"/>
        </w:rPr>
        <w:t>anchor sheet</w:t>
      </w:r>
      <w:r w:rsidRPr="00370B37">
        <w:rPr>
          <w:sz w:val="24"/>
          <w:szCs w:val="24"/>
        </w:rPr>
        <w:t xml:space="preserve"> shall be considered as failing</w:t>
      </w:r>
      <w:r w:rsidRPr="00370B37">
        <w:rPr>
          <w:sz w:val="24"/>
          <w:szCs w:val="24"/>
          <w:u w:val="single"/>
        </w:rPr>
        <w:t>.</w:t>
      </w:r>
      <w:r w:rsidRPr="00370B37">
        <w:rPr>
          <w:sz w:val="24"/>
          <w:szCs w:val="24"/>
        </w:rPr>
        <w:t xml:space="preserve"> </w:t>
      </w:r>
      <w:proofErr w:type="gramStart"/>
      <w:r w:rsidRPr="00370B37">
        <w:rPr>
          <w:strike/>
          <w:sz w:val="24"/>
          <w:szCs w:val="24"/>
        </w:rPr>
        <w:t>the</w:t>
      </w:r>
      <w:proofErr w:type="gramEnd"/>
      <w:r w:rsidRPr="00370B37">
        <w:rPr>
          <w:strike/>
          <w:sz w:val="24"/>
          <w:szCs w:val="24"/>
        </w:rPr>
        <w:t xml:space="preserve"> wind uplift test.</w:t>
      </w:r>
      <w:r w:rsidRPr="00370B37">
        <w:rPr>
          <w:sz w:val="24"/>
          <w:szCs w:val="24"/>
        </w:rPr>
        <w:t xml:space="preserve"> </w:t>
      </w:r>
      <w:r w:rsidRPr="00370B37">
        <w:rPr>
          <w:sz w:val="24"/>
          <w:szCs w:val="24"/>
          <w:u w:val="single"/>
        </w:rPr>
        <w:t xml:space="preserve">Any test specimen which exhibits fastener pull out of the substrate or fastener pull through of the anchor sheet shall be considered as failing. Any test specimen which fails to hold the negative pressure for </w:t>
      </w:r>
    </w:p>
    <w:p w:rsidR="000D1BDB" w:rsidRDefault="000D1BDB" w:rsidP="000D1BDB">
      <w:pPr>
        <w:pStyle w:val="NoSpacing"/>
        <w:rPr>
          <w:sz w:val="24"/>
          <w:szCs w:val="24"/>
        </w:rPr>
      </w:pPr>
      <w:r w:rsidRPr="00370B37">
        <w:rPr>
          <w:sz w:val="24"/>
          <w:szCs w:val="24"/>
          <w:u w:val="single"/>
        </w:rPr>
        <w:t xml:space="preserve">90 </w:t>
      </w:r>
      <w:proofErr w:type="spellStart"/>
      <w:r w:rsidRPr="00370B37">
        <w:rPr>
          <w:sz w:val="24"/>
          <w:szCs w:val="24"/>
          <w:u w:val="single"/>
        </w:rPr>
        <w:t>lbf</w:t>
      </w:r>
      <w:proofErr w:type="spellEnd"/>
      <w:r w:rsidRPr="00370B37">
        <w:rPr>
          <w:sz w:val="24"/>
          <w:szCs w:val="24"/>
          <w:u w:val="single"/>
        </w:rPr>
        <w:t>/ft2 for one (1) minute shall be considered as failing.</w:t>
      </w:r>
      <w:r w:rsidRPr="001C1D30" w:rsidDel="000D49A0">
        <w:rPr>
          <w:sz w:val="24"/>
          <w:szCs w:val="24"/>
          <w:u w:val="single"/>
        </w:rPr>
        <w:t xml:space="preserve"> </w:t>
      </w:r>
    </w:p>
    <w:p w:rsidR="000D1BDB" w:rsidRPr="007613B3" w:rsidRDefault="000D1BDB" w:rsidP="000D1BDB">
      <w:pPr>
        <w:pStyle w:val="NoSpacing"/>
        <w:rPr>
          <w:sz w:val="24"/>
          <w:szCs w:val="24"/>
        </w:rPr>
      </w:pPr>
    </w:p>
    <w:p w:rsidR="000D1BDB" w:rsidRDefault="000D1BDB" w:rsidP="000D1BDB">
      <w:pPr>
        <w:autoSpaceDE w:val="0"/>
        <w:autoSpaceDN w:val="0"/>
        <w:rPr>
          <w:b/>
          <w:bCs/>
        </w:rPr>
      </w:pPr>
      <w:r w:rsidRPr="00C11D27">
        <w:rPr>
          <w:b/>
          <w:bCs/>
        </w:rPr>
        <w:t>Mod 10176</w:t>
      </w:r>
    </w:p>
    <w:p w:rsidR="000D1BDB" w:rsidRPr="00C11D27" w:rsidRDefault="000D1BDB" w:rsidP="000D1BDB">
      <w:pPr>
        <w:autoSpaceDE w:val="0"/>
        <w:autoSpaceDN w:val="0"/>
        <w:rPr>
          <w:b/>
          <w:bCs/>
        </w:rPr>
      </w:pPr>
      <w:r>
        <w:rPr>
          <w:b/>
          <w:bCs/>
        </w:rPr>
        <w:t>Alternative Language by MDC</w:t>
      </w:r>
    </w:p>
    <w:p w:rsidR="000D1BDB" w:rsidRDefault="000D1BDB" w:rsidP="000D1BDB">
      <w:pPr>
        <w:autoSpaceDE w:val="0"/>
        <w:autoSpaceDN w:val="0"/>
        <w:rPr>
          <w:rFonts w:ascii="TimesNewRoman,Bold" w:hAnsi="TimesNewRoman,Bold"/>
          <w:b/>
          <w:bCs/>
          <w:strike/>
          <w:sz w:val="21"/>
          <w:szCs w:val="21"/>
        </w:rPr>
      </w:pPr>
    </w:p>
    <w:p w:rsidR="000D1BDB" w:rsidRDefault="000D1BDB" w:rsidP="000D1BDB">
      <w:pPr>
        <w:autoSpaceDE w:val="0"/>
        <w:autoSpaceDN w:val="0"/>
      </w:pPr>
      <w:r>
        <w:rPr>
          <w:rFonts w:ascii="TimesNewRoman,Bold" w:hAnsi="TimesNewRoman,Bold"/>
          <w:b/>
          <w:bCs/>
          <w:strike/>
          <w:sz w:val="21"/>
          <w:szCs w:val="21"/>
        </w:rPr>
        <w:t xml:space="preserve">1518.2 </w:t>
      </w:r>
      <w:proofErr w:type="spellStart"/>
      <w:r>
        <w:rPr>
          <w:rFonts w:ascii="TimesNewRoman,Bold" w:hAnsi="TimesNewRoman,Bold"/>
          <w:b/>
          <w:bCs/>
          <w:strike/>
          <w:sz w:val="21"/>
          <w:szCs w:val="21"/>
        </w:rPr>
        <w:t>Underlayments</w:t>
      </w:r>
      <w:proofErr w:type="spellEnd"/>
      <w:r>
        <w:rPr>
          <w:rFonts w:ascii="TimesNewRoman,Bold" w:hAnsi="TimesNewRoman,Bold"/>
          <w:b/>
          <w:bCs/>
          <w:strike/>
          <w:sz w:val="21"/>
          <w:szCs w:val="21"/>
        </w:rPr>
        <w:t xml:space="preserve">. </w:t>
      </w:r>
      <w:r>
        <w:rPr>
          <w:rFonts w:ascii="TimesNewRoman" w:hAnsi="TimesNewRoman"/>
          <w:strike/>
          <w:sz w:val="21"/>
          <w:szCs w:val="21"/>
        </w:rPr>
        <w:t>Underlayment shall be as defined in Section 1513. Underlayment shall be installed in compliance with the roofing component product approval and shall be in compliance with the following minimum requirements:</w:t>
      </w:r>
    </w:p>
    <w:p w:rsidR="000D1BDB" w:rsidRDefault="000D1BDB" w:rsidP="000D1BDB">
      <w:pPr>
        <w:autoSpaceDE w:val="0"/>
        <w:autoSpaceDN w:val="0"/>
        <w:ind w:left="720"/>
      </w:pPr>
      <w:r>
        <w:rPr>
          <w:rFonts w:ascii="TimesNewRoman,Bold" w:hAnsi="TimesNewRoman,Bold"/>
          <w:b/>
          <w:bCs/>
          <w:strike/>
          <w:sz w:val="21"/>
          <w:szCs w:val="21"/>
        </w:rPr>
        <w:t xml:space="preserve">1518.2.1 </w:t>
      </w:r>
      <w:r>
        <w:rPr>
          <w:rFonts w:ascii="TimesNewRoman" w:hAnsi="TimesNewRoman"/>
          <w:strike/>
          <w:sz w:val="21"/>
          <w:szCs w:val="21"/>
        </w:rPr>
        <w:t xml:space="preserve">Underlayment shall be attached to a </w:t>
      </w:r>
      <w:proofErr w:type="spellStart"/>
      <w:r>
        <w:rPr>
          <w:rFonts w:ascii="TimesNewRoman" w:hAnsi="TimesNewRoman"/>
          <w:strike/>
          <w:sz w:val="21"/>
          <w:szCs w:val="21"/>
        </w:rPr>
        <w:t>nailable</w:t>
      </w:r>
      <w:proofErr w:type="spellEnd"/>
      <w:r>
        <w:rPr>
          <w:rFonts w:ascii="TimesNewRoman" w:hAnsi="TimesNewRoman"/>
          <w:strike/>
          <w:sz w:val="21"/>
          <w:szCs w:val="21"/>
        </w:rPr>
        <w:t xml:space="preserve"> deck in a grid pattern of 12 inches (305 mm) between the overlaps, with 6-inch (152 mm) spacing at the overlaps.</w:t>
      </w:r>
    </w:p>
    <w:p w:rsidR="000D1BDB" w:rsidRDefault="000D1BDB" w:rsidP="000D1BDB">
      <w:pPr>
        <w:autoSpaceDE w:val="0"/>
        <w:autoSpaceDN w:val="0"/>
        <w:ind w:left="720"/>
      </w:pPr>
      <w:r>
        <w:rPr>
          <w:rFonts w:ascii="TimesNewRoman,Bold" w:hAnsi="TimesNewRoman,Bold"/>
          <w:b/>
          <w:bCs/>
          <w:strike/>
          <w:sz w:val="21"/>
          <w:szCs w:val="21"/>
        </w:rPr>
        <w:t xml:space="preserve">1518.2.2 </w:t>
      </w:r>
      <w:r>
        <w:rPr>
          <w:rFonts w:ascii="TimesNewRoman" w:hAnsi="TimesNewRoman"/>
          <w:strike/>
          <w:sz w:val="21"/>
          <w:szCs w:val="21"/>
        </w:rPr>
        <w:t>Where the architectural appearance of the underside is to be preserved, the underlayment shall be secured in accordance with Section 1519.5.2.</w:t>
      </w:r>
    </w:p>
    <w:p w:rsidR="000D1BDB" w:rsidRDefault="000D1BDB" w:rsidP="000D1BDB">
      <w:pPr>
        <w:autoSpaceDE w:val="0"/>
        <w:autoSpaceDN w:val="0"/>
        <w:ind w:left="720"/>
      </w:pPr>
      <w:r>
        <w:rPr>
          <w:rFonts w:ascii="TimesNewRoman,Bold" w:hAnsi="TimesNewRoman,Bold"/>
          <w:b/>
          <w:bCs/>
          <w:strike/>
          <w:sz w:val="21"/>
          <w:szCs w:val="21"/>
        </w:rPr>
        <w:t xml:space="preserve">1518.2.3 </w:t>
      </w:r>
      <w:r>
        <w:rPr>
          <w:rFonts w:ascii="TimesNewRoman" w:hAnsi="TimesNewRoman"/>
          <w:strike/>
          <w:sz w:val="21"/>
          <w:szCs w:val="21"/>
        </w:rPr>
        <w:t>Tin caps and nails or cap nails shall be as defined in Section 1517.5.2.</w:t>
      </w:r>
    </w:p>
    <w:p w:rsidR="000D1BDB" w:rsidRDefault="000D1BDB" w:rsidP="000D1BDB">
      <w:pPr>
        <w:autoSpaceDE w:val="0"/>
        <w:autoSpaceDN w:val="0"/>
        <w:ind w:left="720"/>
      </w:pPr>
      <w:r>
        <w:rPr>
          <w:rFonts w:ascii="TimesNewRoman,Bold" w:hAnsi="TimesNewRoman,Bold"/>
          <w:b/>
          <w:bCs/>
          <w:strike/>
          <w:sz w:val="21"/>
          <w:szCs w:val="21"/>
        </w:rPr>
        <w:t xml:space="preserve">1518.2.4 </w:t>
      </w:r>
      <w:r>
        <w:rPr>
          <w:rFonts w:ascii="TimesNewRoman" w:hAnsi="TimesNewRoman"/>
          <w:strike/>
          <w:sz w:val="21"/>
          <w:szCs w:val="21"/>
        </w:rPr>
        <w:t>Underlayment nails shall be as defined in Section 1517.5.1.</w:t>
      </w:r>
    </w:p>
    <w:p w:rsidR="000D1BDB" w:rsidRDefault="000D1BDB" w:rsidP="000D1BDB">
      <w:pPr>
        <w:autoSpaceDE w:val="0"/>
        <w:autoSpaceDN w:val="0"/>
      </w:pPr>
      <w:r>
        <w:rPr>
          <w:b/>
          <w:bCs/>
          <w:sz w:val="21"/>
          <w:szCs w:val="21"/>
        </w:rPr>
        <w:t> </w:t>
      </w:r>
    </w:p>
    <w:p w:rsidR="000D1BDB" w:rsidRDefault="000D1BDB" w:rsidP="000D1BDB">
      <w:pPr>
        <w:autoSpaceDE w:val="0"/>
        <w:autoSpaceDN w:val="0"/>
      </w:pPr>
      <w:r>
        <w:rPr>
          <w:b/>
          <w:bCs/>
          <w:color w:val="00B0F0"/>
          <w:sz w:val="21"/>
          <w:szCs w:val="21"/>
          <w:u w:val="single"/>
        </w:rPr>
        <w:t xml:space="preserve">1518.2 Underlayment. </w:t>
      </w:r>
      <w:r>
        <w:rPr>
          <w:color w:val="00B0F0"/>
          <w:sz w:val="21"/>
          <w:szCs w:val="21"/>
          <w:u w:val="single"/>
        </w:rPr>
        <w:t>Underlayment shall be as defined in Section 1513. Underlayment shall be installed in compliance with the roofing component product approval and shall be in compliance with the following minimum requirements:</w:t>
      </w:r>
    </w:p>
    <w:p w:rsidR="000D1BDB" w:rsidRDefault="000D1BDB" w:rsidP="000D1BDB">
      <w:pPr>
        <w:autoSpaceDE w:val="0"/>
        <w:autoSpaceDN w:val="0"/>
        <w:ind w:left="720"/>
      </w:pPr>
      <w:r>
        <w:rPr>
          <w:b/>
          <w:bCs/>
          <w:color w:val="00B0F0"/>
          <w:sz w:val="21"/>
          <w:szCs w:val="21"/>
          <w:u w:val="single"/>
        </w:rPr>
        <w:t xml:space="preserve">1518.2.1 </w:t>
      </w:r>
      <w:r>
        <w:rPr>
          <w:color w:val="00B0F0"/>
          <w:sz w:val="21"/>
          <w:szCs w:val="21"/>
          <w:u w:val="single"/>
        </w:rPr>
        <w:t>If the underlayment is a self-adhering membrane, the membrane shall be applied over a mechanically attached anchor sheet, attached in compliance with this Section.</w:t>
      </w:r>
    </w:p>
    <w:p w:rsidR="000D1BDB" w:rsidRDefault="000D1BDB" w:rsidP="000D1BDB">
      <w:pPr>
        <w:pStyle w:val="NormalWeb"/>
        <w:shd w:val="clear" w:color="auto" w:fill="FFFFFF"/>
        <w:spacing w:before="0" w:beforeAutospacing="0" w:after="0" w:afterAutospacing="0"/>
        <w:ind w:left="720"/>
        <w:jc w:val="both"/>
      </w:pPr>
      <w:r>
        <w:rPr>
          <w:b/>
          <w:bCs/>
          <w:color w:val="00B0F0"/>
          <w:sz w:val="21"/>
          <w:szCs w:val="21"/>
          <w:u w:val="single"/>
        </w:rPr>
        <w:t xml:space="preserve">1518.2.2 </w:t>
      </w:r>
      <w:r>
        <w:rPr>
          <w:color w:val="00B0F0"/>
          <w:sz w:val="21"/>
          <w:szCs w:val="21"/>
          <w:u w:val="single"/>
          <w:shd w:val="clear" w:color="auto" w:fill="FFFFFF"/>
        </w:rPr>
        <w:t>Self-adhering underlayment intended for use under tile systems shall be an Approved underlayment in accordance with TAS 103. Mechanically fastened underlayment intended for use under tile systems shall be an Approved underlayment in accordance with TAS 104.</w:t>
      </w:r>
    </w:p>
    <w:p w:rsidR="000D1BDB" w:rsidRDefault="000D1BDB" w:rsidP="000D1BDB">
      <w:pPr>
        <w:autoSpaceDE w:val="0"/>
        <w:autoSpaceDN w:val="0"/>
        <w:ind w:left="720"/>
      </w:pPr>
      <w:r>
        <w:rPr>
          <w:b/>
          <w:bCs/>
          <w:color w:val="00B0F0"/>
          <w:sz w:val="21"/>
          <w:szCs w:val="21"/>
          <w:u w:val="single"/>
        </w:rPr>
        <w:t xml:space="preserve">1518.2.3 </w:t>
      </w:r>
      <w:r>
        <w:rPr>
          <w:color w:val="00B0F0"/>
          <w:sz w:val="21"/>
          <w:szCs w:val="21"/>
          <w:u w:val="single"/>
        </w:rPr>
        <w:t>Underlayment shall be attached in a grid pattern of 12 inches (305 mm) between the overlaps, with 6-inch (152 mm) spacing at the overlaps, all end laps shall be a minimum of 6 inches (152 mm).</w:t>
      </w:r>
    </w:p>
    <w:p w:rsidR="000D1BDB" w:rsidRDefault="000D1BDB" w:rsidP="000D1BDB">
      <w:pPr>
        <w:autoSpaceDE w:val="0"/>
        <w:autoSpaceDN w:val="0"/>
        <w:ind w:left="720"/>
      </w:pPr>
      <w:r>
        <w:rPr>
          <w:b/>
          <w:bCs/>
          <w:color w:val="00B0F0"/>
          <w:sz w:val="21"/>
          <w:szCs w:val="21"/>
          <w:u w:val="single"/>
        </w:rPr>
        <w:t xml:space="preserve">1518.2.4 </w:t>
      </w:r>
      <w:r>
        <w:rPr>
          <w:color w:val="00B0F0"/>
          <w:sz w:val="21"/>
          <w:szCs w:val="21"/>
          <w:u w:val="single"/>
        </w:rPr>
        <w:t>Where the architectural appearance of the underside is to be preserved, the underlayment shall be secured in accordance with Section 1519.5.2.</w:t>
      </w:r>
    </w:p>
    <w:p w:rsidR="000D1BDB" w:rsidRDefault="000D1BDB" w:rsidP="000D1BDB">
      <w:pPr>
        <w:autoSpaceDE w:val="0"/>
        <w:autoSpaceDN w:val="0"/>
        <w:ind w:left="720"/>
      </w:pPr>
      <w:r>
        <w:rPr>
          <w:b/>
          <w:bCs/>
          <w:color w:val="00B0F0"/>
          <w:sz w:val="21"/>
          <w:szCs w:val="21"/>
          <w:u w:val="single"/>
        </w:rPr>
        <w:t xml:space="preserve">1518.2.5 </w:t>
      </w:r>
      <w:r>
        <w:rPr>
          <w:color w:val="00B0F0"/>
          <w:sz w:val="21"/>
          <w:szCs w:val="21"/>
          <w:u w:val="single"/>
        </w:rPr>
        <w:t>Fasteners shall be as defined in Section 1517.5.</w:t>
      </w:r>
    </w:p>
    <w:p w:rsidR="000D1BDB" w:rsidRDefault="000D1BDB" w:rsidP="000D1BDB">
      <w:pPr>
        <w:autoSpaceDE w:val="0"/>
        <w:autoSpaceDN w:val="0"/>
      </w:pPr>
      <w:r>
        <w:rPr>
          <w:rFonts w:ascii="TimesNewRoman,Bold" w:hAnsi="TimesNewRoman,Bold"/>
          <w:b/>
          <w:bCs/>
          <w:sz w:val="21"/>
          <w:szCs w:val="21"/>
        </w:rPr>
        <w:t> </w:t>
      </w:r>
    </w:p>
    <w:p w:rsidR="000D1BDB" w:rsidRDefault="000D1BDB" w:rsidP="000D1BDB">
      <w:pPr>
        <w:autoSpaceDE w:val="0"/>
        <w:autoSpaceDN w:val="0"/>
      </w:pPr>
      <w:r>
        <w:rPr>
          <w:rFonts w:ascii="TimesNewRoman,Bold" w:hAnsi="TimesNewRoman,Bold"/>
          <w:b/>
          <w:bCs/>
          <w:strike/>
          <w:sz w:val="21"/>
          <w:szCs w:val="21"/>
        </w:rPr>
        <w:t xml:space="preserve">1518.3 </w:t>
      </w:r>
      <w:r>
        <w:rPr>
          <w:rFonts w:ascii="TimesNewRoman" w:hAnsi="TimesNewRoman"/>
          <w:strike/>
          <w:sz w:val="21"/>
          <w:szCs w:val="21"/>
        </w:rPr>
        <w:t>If the underlayment is a self-adhering membrane, the membrane shall be applied over a mechanically attached anchor sheet, attached in compliance with Section 1518.2.1.</w:t>
      </w:r>
    </w:p>
    <w:p w:rsidR="000D1BDB" w:rsidRDefault="000D1BDB" w:rsidP="000D1BDB">
      <w:pPr>
        <w:autoSpaceDE w:val="0"/>
        <w:autoSpaceDN w:val="0"/>
      </w:pPr>
      <w:r>
        <w:rPr>
          <w:b/>
          <w:bCs/>
          <w:sz w:val="21"/>
          <w:szCs w:val="21"/>
        </w:rPr>
        <w:t> </w:t>
      </w:r>
    </w:p>
    <w:p w:rsidR="000D1BDB" w:rsidRDefault="000D1BDB" w:rsidP="000D1BDB">
      <w:pPr>
        <w:autoSpaceDE w:val="0"/>
        <w:autoSpaceDN w:val="0"/>
      </w:pPr>
      <w:r>
        <w:rPr>
          <w:b/>
          <w:bCs/>
          <w:color w:val="00B0F0"/>
          <w:sz w:val="21"/>
          <w:szCs w:val="21"/>
          <w:u w:val="single"/>
        </w:rPr>
        <w:t xml:space="preserve">1518.3 Underlayment Products. </w:t>
      </w:r>
      <w:r>
        <w:rPr>
          <w:color w:val="00B0F0"/>
          <w:sz w:val="21"/>
          <w:szCs w:val="21"/>
          <w:u w:val="single"/>
        </w:rPr>
        <w:t xml:space="preserve">All underlayment applications for prepared roof coverings shall be applied in compliance with the manufacturer roofing assembly product approval, and shall be not less than one of the following: </w:t>
      </w:r>
    </w:p>
    <w:p w:rsidR="000D1BDB" w:rsidRDefault="000D1BDB" w:rsidP="000D1BDB">
      <w:pPr>
        <w:autoSpaceDE w:val="0"/>
        <w:autoSpaceDN w:val="0"/>
        <w:ind w:left="720"/>
      </w:pPr>
      <w:r>
        <w:rPr>
          <w:color w:val="00B0F0"/>
          <w:sz w:val="21"/>
          <w:szCs w:val="21"/>
          <w:u w:val="single"/>
        </w:rPr>
        <w:t>1. ASTM D226, Type II or ASTM D8257 or ASTM D4869 Type III, Type IV</w:t>
      </w:r>
    </w:p>
    <w:p w:rsidR="000D1BDB" w:rsidRDefault="000D1BDB" w:rsidP="000D1BDB">
      <w:pPr>
        <w:autoSpaceDE w:val="0"/>
        <w:autoSpaceDN w:val="0"/>
        <w:ind w:left="720"/>
      </w:pPr>
      <w:r>
        <w:rPr>
          <w:color w:val="00B0F0"/>
          <w:sz w:val="21"/>
          <w:szCs w:val="21"/>
          <w:u w:val="single"/>
        </w:rPr>
        <w:t xml:space="preserve">2. ASTM D2626 coated base sheet </w:t>
      </w:r>
    </w:p>
    <w:p w:rsidR="000D1BDB" w:rsidRDefault="000D1BDB" w:rsidP="000D1BDB">
      <w:pPr>
        <w:autoSpaceDE w:val="0"/>
        <w:autoSpaceDN w:val="0"/>
      </w:pPr>
      <w:r>
        <w:rPr>
          <w:rFonts w:ascii="TimesNewRoman,Bold" w:hAnsi="TimesNewRoman,Bold"/>
          <w:b/>
          <w:bCs/>
          <w:sz w:val="21"/>
          <w:szCs w:val="21"/>
        </w:rPr>
        <w:t> </w:t>
      </w:r>
    </w:p>
    <w:p w:rsidR="000D1BDB" w:rsidRDefault="000D1BDB" w:rsidP="000D1BDB">
      <w:pPr>
        <w:autoSpaceDE w:val="0"/>
        <w:autoSpaceDN w:val="0"/>
      </w:pPr>
      <w:r>
        <w:rPr>
          <w:rFonts w:ascii="TimesNewRoman,Bold" w:hAnsi="TimesNewRoman,Bold"/>
          <w:b/>
          <w:bCs/>
          <w:strike/>
          <w:sz w:val="21"/>
          <w:szCs w:val="21"/>
        </w:rPr>
        <w:t xml:space="preserve">1518.4 </w:t>
      </w:r>
      <w:r>
        <w:rPr>
          <w:rFonts w:ascii="TimesNewRoman" w:hAnsi="TimesNewRoman"/>
          <w:strike/>
          <w:sz w:val="21"/>
          <w:szCs w:val="21"/>
        </w:rPr>
        <w:t xml:space="preserve">All underlayment applications for prepared roof coverings shall be applied in compliance with the manufacturer roofing assembly product approval, and shall be not less than one of the following: (1) a double layer of an ASTM D226 Type I, with a 19-inch (483 mm) </w:t>
      </w:r>
      <w:proofErr w:type="spellStart"/>
      <w:r>
        <w:rPr>
          <w:rFonts w:ascii="TimesNewRoman" w:hAnsi="TimesNewRoman"/>
          <w:strike/>
          <w:sz w:val="21"/>
          <w:szCs w:val="21"/>
        </w:rPr>
        <w:t>headlap</w:t>
      </w:r>
      <w:proofErr w:type="spellEnd"/>
      <w:r>
        <w:rPr>
          <w:rFonts w:ascii="TimesNewRoman" w:hAnsi="TimesNewRoman"/>
          <w:strike/>
          <w:sz w:val="21"/>
          <w:szCs w:val="21"/>
        </w:rPr>
        <w:t xml:space="preserve">; or (2) a single layer of an ASTM D226, Type II with a 4-inch (102 mm) </w:t>
      </w:r>
      <w:proofErr w:type="spellStart"/>
      <w:r>
        <w:rPr>
          <w:rFonts w:ascii="TimesNewRoman" w:hAnsi="TimesNewRoman"/>
          <w:strike/>
          <w:sz w:val="21"/>
          <w:szCs w:val="21"/>
        </w:rPr>
        <w:t>headlap</w:t>
      </w:r>
      <w:proofErr w:type="spellEnd"/>
      <w:r>
        <w:rPr>
          <w:rFonts w:ascii="TimesNewRoman" w:hAnsi="TimesNewRoman"/>
          <w:strike/>
          <w:sz w:val="21"/>
          <w:szCs w:val="21"/>
        </w:rPr>
        <w:t xml:space="preserve">; or (3) a single layer of an ASTM D2626 coated base sheet with a 4-inch (102 mm) </w:t>
      </w:r>
      <w:proofErr w:type="spellStart"/>
      <w:r>
        <w:rPr>
          <w:rFonts w:ascii="TimesNewRoman" w:hAnsi="TimesNewRoman"/>
          <w:strike/>
          <w:sz w:val="21"/>
          <w:szCs w:val="21"/>
        </w:rPr>
        <w:t>headlap</w:t>
      </w:r>
      <w:proofErr w:type="spellEnd"/>
      <w:r>
        <w:rPr>
          <w:rFonts w:ascii="TimesNewRoman" w:hAnsi="TimesNewRoman"/>
          <w:strike/>
          <w:sz w:val="21"/>
          <w:szCs w:val="21"/>
        </w:rPr>
        <w:t xml:space="preserve">, and (4) all </w:t>
      </w:r>
      <w:proofErr w:type="spellStart"/>
      <w:r>
        <w:rPr>
          <w:rFonts w:ascii="TimesNewRoman" w:hAnsi="TimesNewRoman"/>
          <w:strike/>
          <w:sz w:val="21"/>
          <w:szCs w:val="21"/>
        </w:rPr>
        <w:t>endlaps</w:t>
      </w:r>
      <w:proofErr w:type="spellEnd"/>
      <w:r>
        <w:rPr>
          <w:rFonts w:ascii="TimesNewRoman" w:hAnsi="TimesNewRoman"/>
          <w:strike/>
          <w:sz w:val="21"/>
          <w:szCs w:val="21"/>
        </w:rPr>
        <w:t xml:space="preserve"> shall be a minimum of 6 inches (152 mm).</w:t>
      </w:r>
    </w:p>
    <w:p w:rsidR="000D1BDB" w:rsidRDefault="000D1BDB" w:rsidP="000D1BDB">
      <w:pPr>
        <w:autoSpaceDE w:val="0"/>
        <w:autoSpaceDN w:val="0"/>
      </w:pPr>
      <w:r>
        <w:rPr>
          <w:b/>
          <w:bCs/>
          <w:sz w:val="21"/>
          <w:szCs w:val="21"/>
        </w:rPr>
        <w:t> </w:t>
      </w:r>
    </w:p>
    <w:p w:rsidR="000D1BDB" w:rsidRDefault="000D1BDB" w:rsidP="000D1BDB">
      <w:pPr>
        <w:autoSpaceDE w:val="0"/>
        <w:autoSpaceDN w:val="0"/>
      </w:pPr>
      <w:r>
        <w:rPr>
          <w:b/>
          <w:bCs/>
          <w:color w:val="00B0F0"/>
          <w:sz w:val="21"/>
          <w:szCs w:val="21"/>
          <w:u w:val="single"/>
        </w:rPr>
        <w:t xml:space="preserve">1518.4 Underlayment Application. </w:t>
      </w:r>
      <w:r>
        <w:rPr>
          <w:color w:val="00B0F0"/>
          <w:sz w:val="21"/>
          <w:szCs w:val="21"/>
          <w:u w:val="single"/>
        </w:rPr>
        <w:t>Underlayment for asphalt shingles, metal roof shingles, slate and slate-type shingles, and metal roof panels shall comply with one of the following methods:</w:t>
      </w:r>
    </w:p>
    <w:p w:rsidR="000D1BDB" w:rsidRDefault="000D1BDB" w:rsidP="000D1BDB">
      <w:pPr>
        <w:numPr>
          <w:ilvl w:val="0"/>
          <w:numId w:val="2"/>
        </w:numPr>
        <w:shd w:val="clear" w:color="auto" w:fill="FFFFFF"/>
        <w:ind w:left="360"/>
        <w:jc w:val="both"/>
      </w:pPr>
      <w:r>
        <w:rPr>
          <w:color w:val="00B0F0"/>
          <w:sz w:val="21"/>
          <w:szCs w:val="21"/>
          <w:u w:val="single"/>
        </w:rPr>
        <w:t> </w:t>
      </w:r>
      <w:r>
        <w:rPr>
          <w:color w:val="00B0F0"/>
          <w:sz w:val="21"/>
          <w:szCs w:val="21"/>
          <w:u w:val="single"/>
          <w:shd w:val="clear" w:color="auto" w:fill="FFFFFF"/>
        </w:rPr>
        <w:t xml:space="preserve">All joints in structural panel roof sheathing or decking shall be covered with a 3 ¾ inch (102 mm) to 6 inch (153 mm) wide strip of self-adhering polymer modified bitumen tape </w:t>
      </w:r>
      <w:r w:rsidRPr="00AF4E43">
        <w:rPr>
          <w:color w:val="00B0F0"/>
          <w:sz w:val="21"/>
          <w:szCs w:val="21"/>
          <w:u w:val="single"/>
        </w:rPr>
        <w:t>complying with ASTM D1970</w:t>
      </w:r>
      <w:r w:rsidRPr="00AF4E43">
        <w:rPr>
          <w:color w:val="00B0F0"/>
          <w:sz w:val="21"/>
          <w:szCs w:val="21"/>
          <w:u w:val="single"/>
          <w:shd w:val="clear" w:color="auto" w:fill="FFFFFF"/>
        </w:rPr>
        <w:t xml:space="preserve"> </w:t>
      </w:r>
      <w:r>
        <w:rPr>
          <w:color w:val="00B0F0"/>
          <w:sz w:val="21"/>
          <w:szCs w:val="21"/>
          <w:u w:val="single"/>
          <w:shd w:val="clear" w:color="auto" w:fill="FFFFFF"/>
        </w:rPr>
        <w:t xml:space="preserve">or a </w:t>
      </w:r>
      <w:r>
        <w:rPr>
          <w:color w:val="00B0F0"/>
          <w:sz w:val="21"/>
          <w:szCs w:val="21"/>
          <w:u w:val="single"/>
        </w:rPr>
        <w:t xml:space="preserve">flexible flashing tape complying with AAMA 711, Level 3 [for exposure up to 176°F (80°C)], </w:t>
      </w:r>
      <w:r>
        <w:rPr>
          <w:color w:val="00B0F0"/>
          <w:sz w:val="21"/>
          <w:szCs w:val="21"/>
          <w:u w:val="single"/>
          <w:shd w:val="clear" w:color="auto" w:fill="FFFFFF"/>
        </w:rPr>
        <w:t>applied directly to the sheathing or decking. The entire deck and taped joints shall be covered with one of the underlayment systems indicated in item 2 approved for the roof covering to be applied to the roof.</w:t>
      </w:r>
      <w:r>
        <w:rPr>
          <w:color w:val="00B0F0"/>
          <w:sz w:val="21"/>
          <w:szCs w:val="21"/>
          <w:u w:val="single"/>
        </w:rPr>
        <w:t xml:space="preserve"> </w:t>
      </w:r>
    </w:p>
    <w:p w:rsidR="000D1BDB" w:rsidRDefault="000D1BDB" w:rsidP="000D1BDB">
      <w:pPr>
        <w:pStyle w:val="NormalWeb"/>
        <w:shd w:val="clear" w:color="auto" w:fill="FFFFFF"/>
        <w:spacing w:before="0" w:beforeAutospacing="0" w:after="0" w:afterAutospacing="0"/>
        <w:ind w:left="720"/>
        <w:jc w:val="both"/>
      </w:pPr>
      <w:r>
        <w:rPr>
          <w:rStyle w:val="bold"/>
          <w:color w:val="00B0F0"/>
          <w:sz w:val="21"/>
          <w:szCs w:val="21"/>
          <w:u w:val="single"/>
        </w:rPr>
        <w:lastRenderedPageBreak/>
        <w:t>Exception:</w:t>
      </w:r>
    </w:p>
    <w:p w:rsidR="000D1BDB" w:rsidRDefault="000D1BDB" w:rsidP="000D1BDB">
      <w:pPr>
        <w:pStyle w:val="NormalWeb"/>
        <w:shd w:val="clear" w:color="auto" w:fill="FFFFFF"/>
        <w:spacing w:before="0" w:beforeAutospacing="0" w:after="0" w:afterAutospacing="0"/>
        <w:ind w:left="720"/>
        <w:jc w:val="both"/>
      </w:pPr>
      <w:r>
        <w:rPr>
          <w:color w:val="00B0F0"/>
          <w:sz w:val="21"/>
          <w:szCs w:val="21"/>
          <w:u w:val="single"/>
        </w:rPr>
        <w:t>Roof slopes 4:12 or greater can have underlayment installed with 4-inch side lap.</w:t>
      </w:r>
    </w:p>
    <w:p w:rsidR="000D1BDB" w:rsidRDefault="000D1BDB" w:rsidP="000D1BDB">
      <w:pPr>
        <w:shd w:val="clear" w:color="auto" w:fill="FFFFFF"/>
        <w:ind w:left="300"/>
        <w:jc w:val="both"/>
      </w:pPr>
      <w:r>
        <w:rPr>
          <w:color w:val="00B0F0"/>
          <w:sz w:val="21"/>
          <w:szCs w:val="21"/>
        </w:rPr>
        <w:t> </w:t>
      </w:r>
    </w:p>
    <w:p w:rsidR="000D1BDB" w:rsidRDefault="000D1BDB" w:rsidP="000D1BDB">
      <w:pPr>
        <w:numPr>
          <w:ilvl w:val="0"/>
          <w:numId w:val="2"/>
        </w:numPr>
        <w:shd w:val="clear" w:color="auto" w:fill="FFFFFF"/>
        <w:autoSpaceDE w:val="0"/>
        <w:autoSpaceDN w:val="0"/>
        <w:ind w:left="360"/>
        <w:jc w:val="both"/>
      </w:pPr>
      <w:r>
        <w:rPr>
          <w:color w:val="00B0F0"/>
          <w:sz w:val="21"/>
          <w:szCs w:val="21"/>
          <w:u w:val="single"/>
        </w:rPr>
        <w:t xml:space="preserve">Two layers of ASTM D226 Type II or ASTM D4869 Type III, Type IV, or ASTM D8257 underlayment shall be installed as follows: Apply a strip of underlayment that is half the width of a full sheet parallel to and starting at the eaves, fastened sufficiently to hold in place. Starting at the eave, apply full sheets of reinforced underlayment, overlapping successive sheets half the width of a full sheet plus 2 inches. End laps shall be 6 inches (152 mm) and shall be offset by 6 feet (1829 mm). Underlayment shall be attached to a </w:t>
      </w:r>
      <w:proofErr w:type="spellStart"/>
      <w:r>
        <w:rPr>
          <w:color w:val="00B0F0"/>
          <w:sz w:val="21"/>
          <w:szCs w:val="21"/>
          <w:u w:val="single"/>
        </w:rPr>
        <w:t>nailable</w:t>
      </w:r>
      <w:proofErr w:type="spellEnd"/>
      <w:r>
        <w:rPr>
          <w:color w:val="00B0F0"/>
          <w:sz w:val="21"/>
          <w:szCs w:val="21"/>
          <w:u w:val="single"/>
        </w:rPr>
        <w:t xml:space="preserve"> deck with corrosion-resistant fasteners as defined in Section 1517.5 with a maximum fastener spacing measured horizontally and vertically of 12 inches (305 mm) </w:t>
      </w:r>
      <w:proofErr w:type="spellStart"/>
      <w:r>
        <w:rPr>
          <w:color w:val="00B0F0"/>
          <w:sz w:val="21"/>
          <w:szCs w:val="21"/>
          <w:u w:val="single"/>
        </w:rPr>
        <w:t>o.c</w:t>
      </w:r>
      <w:proofErr w:type="spellEnd"/>
      <w:r>
        <w:rPr>
          <w:color w:val="00B0F0"/>
          <w:sz w:val="21"/>
          <w:szCs w:val="21"/>
          <w:u w:val="single"/>
        </w:rPr>
        <w:t xml:space="preserve">. between side laps, and one row at the end and side laps fastened 6 inches (152 mm) </w:t>
      </w:r>
      <w:proofErr w:type="spellStart"/>
      <w:r>
        <w:rPr>
          <w:color w:val="00B0F0"/>
          <w:sz w:val="21"/>
          <w:szCs w:val="21"/>
          <w:u w:val="single"/>
        </w:rPr>
        <w:t>o.c</w:t>
      </w:r>
      <w:proofErr w:type="spellEnd"/>
      <w:r>
        <w:rPr>
          <w:color w:val="00B0F0"/>
          <w:sz w:val="21"/>
          <w:szCs w:val="21"/>
          <w:u w:val="single"/>
        </w:rPr>
        <w:t xml:space="preserve">. </w:t>
      </w:r>
    </w:p>
    <w:p w:rsidR="000D1BDB" w:rsidRDefault="000D1BDB" w:rsidP="000D1BDB">
      <w:r>
        <w:rPr>
          <w:color w:val="0D0D0D"/>
        </w:rPr>
        <w:t> </w:t>
      </w:r>
    </w:p>
    <w:p w:rsidR="000D1BDB" w:rsidRDefault="000D1BDB" w:rsidP="000D1BDB"/>
    <w:p w:rsidR="00AB024D" w:rsidRDefault="00AB024D">
      <w:bookmarkStart w:id="0" w:name="_GoBack"/>
      <w:bookmarkEnd w:id="0"/>
    </w:p>
    <w:sectPr w:rsidR="00AB0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charset w:val="00"/>
    <w:family w:val="auto"/>
    <w:pitch w:val="default"/>
  </w:font>
  <w:font w:name="TimesNew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5001"/>
    <w:multiLevelType w:val="multilevel"/>
    <w:tmpl w:val="D318D408"/>
    <w:lvl w:ilvl="0">
      <w:start w:val="1"/>
      <w:numFmt w:val="decimal"/>
      <w:lvlText w:val="%1."/>
      <w:lvlJc w:val="left"/>
      <w:pPr>
        <w:tabs>
          <w:tab w:val="num" w:pos="780"/>
        </w:tabs>
        <w:ind w:left="780" w:hanging="360"/>
      </w:pPr>
    </w:lvl>
    <w:lvl w:ilvl="1">
      <w:start w:val="1"/>
      <w:numFmt w:val="decimal"/>
      <w:lvlText w:val="%2."/>
      <w:lvlJc w:val="left"/>
      <w:pPr>
        <w:tabs>
          <w:tab w:val="num" w:pos="1500"/>
        </w:tabs>
        <w:ind w:left="1500" w:hanging="360"/>
      </w:pPr>
    </w:lvl>
    <w:lvl w:ilvl="2">
      <w:start w:val="1"/>
      <w:numFmt w:val="decimal"/>
      <w:lvlText w:val="%3."/>
      <w:lvlJc w:val="left"/>
      <w:pPr>
        <w:tabs>
          <w:tab w:val="num" w:pos="2220"/>
        </w:tabs>
        <w:ind w:left="2220" w:hanging="360"/>
      </w:pPr>
    </w:lvl>
    <w:lvl w:ilvl="3">
      <w:start w:val="1"/>
      <w:numFmt w:val="decimal"/>
      <w:lvlText w:val="%4."/>
      <w:lvlJc w:val="left"/>
      <w:pPr>
        <w:tabs>
          <w:tab w:val="num" w:pos="2940"/>
        </w:tabs>
        <w:ind w:left="2940" w:hanging="360"/>
      </w:pPr>
    </w:lvl>
    <w:lvl w:ilvl="4">
      <w:start w:val="1"/>
      <w:numFmt w:val="decimal"/>
      <w:lvlText w:val="%5."/>
      <w:lvlJc w:val="left"/>
      <w:pPr>
        <w:tabs>
          <w:tab w:val="num" w:pos="3660"/>
        </w:tabs>
        <w:ind w:left="3660" w:hanging="360"/>
      </w:pPr>
    </w:lvl>
    <w:lvl w:ilvl="5">
      <w:start w:val="1"/>
      <w:numFmt w:val="decimal"/>
      <w:lvlText w:val="%6."/>
      <w:lvlJc w:val="left"/>
      <w:pPr>
        <w:tabs>
          <w:tab w:val="num" w:pos="4380"/>
        </w:tabs>
        <w:ind w:left="4380" w:hanging="360"/>
      </w:pPr>
    </w:lvl>
    <w:lvl w:ilvl="6">
      <w:start w:val="1"/>
      <w:numFmt w:val="decimal"/>
      <w:lvlText w:val="%7."/>
      <w:lvlJc w:val="left"/>
      <w:pPr>
        <w:tabs>
          <w:tab w:val="num" w:pos="5100"/>
        </w:tabs>
        <w:ind w:left="5100" w:hanging="360"/>
      </w:pPr>
    </w:lvl>
    <w:lvl w:ilvl="7">
      <w:start w:val="1"/>
      <w:numFmt w:val="decimal"/>
      <w:lvlText w:val="%8."/>
      <w:lvlJc w:val="left"/>
      <w:pPr>
        <w:tabs>
          <w:tab w:val="num" w:pos="5820"/>
        </w:tabs>
        <w:ind w:left="5820" w:hanging="360"/>
      </w:pPr>
    </w:lvl>
    <w:lvl w:ilvl="8">
      <w:start w:val="1"/>
      <w:numFmt w:val="decimal"/>
      <w:lvlText w:val="%9."/>
      <w:lvlJc w:val="left"/>
      <w:pPr>
        <w:tabs>
          <w:tab w:val="num" w:pos="6540"/>
        </w:tabs>
        <w:ind w:left="6540" w:hanging="360"/>
      </w:pPr>
    </w:lvl>
  </w:abstractNum>
  <w:abstractNum w:abstractNumId="1">
    <w:nsid w:val="3198409B"/>
    <w:multiLevelType w:val="hybridMultilevel"/>
    <w:tmpl w:val="B552B022"/>
    <w:lvl w:ilvl="0" w:tplc="E524128A">
      <w:numFmt w:val="bullet"/>
      <w:lvlText w:val="•"/>
      <w:lvlJc w:val="left"/>
      <w:pPr>
        <w:ind w:left="1110" w:hanging="75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D7"/>
    <w:rsid w:val="000D1BDB"/>
    <w:rsid w:val="001F07D7"/>
    <w:rsid w:val="00AB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A2B43-C81A-477C-A006-2FF129E1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7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07D7"/>
    <w:rPr>
      <w:color w:val="0000FF"/>
      <w:u w:val="single"/>
    </w:rPr>
  </w:style>
  <w:style w:type="character" w:styleId="Strong">
    <w:name w:val="Strong"/>
    <w:basedOn w:val="DefaultParagraphFont"/>
    <w:uiPriority w:val="22"/>
    <w:qFormat/>
    <w:rsid w:val="001F07D7"/>
    <w:rPr>
      <w:b/>
      <w:bCs/>
    </w:rPr>
  </w:style>
  <w:style w:type="paragraph" w:styleId="ListParagraph">
    <w:name w:val="List Paragraph"/>
    <w:basedOn w:val="Normal"/>
    <w:uiPriority w:val="34"/>
    <w:qFormat/>
    <w:rsid w:val="000D1BDB"/>
    <w:pPr>
      <w:spacing w:after="160" w:line="259" w:lineRule="auto"/>
      <w:ind w:left="720"/>
      <w:contextualSpacing/>
    </w:pPr>
    <w:rPr>
      <w:rFonts w:asciiTheme="minorHAnsi" w:hAnsiTheme="minorHAnsi" w:cstheme="minorBidi"/>
    </w:rPr>
  </w:style>
  <w:style w:type="paragraph" w:styleId="NoSpacing">
    <w:name w:val="No Spacing"/>
    <w:uiPriority w:val="1"/>
    <w:qFormat/>
    <w:rsid w:val="000D1BDB"/>
    <w:pPr>
      <w:spacing w:after="0" w:line="240" w:lineRule="auto"/>
    </w:pPr>
  </w:style>
  <w:style w:type="paragraph" w:styleId="NormalWeb">
    <w:name w:val="Normal (Web)"/>
    <w:basedOn w:val="Normal"/>
    <w:uiPriority w:val="99"/>
    <w:semiHidden/>
    <w:unhideWhenUsed/>
    <w:rsid w:val="000D1BDB"/>
    <w:pPr>
      <w:spacing w:before="100" w:beforeAutospacing="1" w:after="100" w:afterAutospacing="1"/>
    </w:pPr>
  </w:style>
  <w:style w:type="character" w:customStyle="1" w:styleId="bold">
    <w:name w:val="bold"/>
    <w:basedOn w:val="DefaultParagraphFont"/>
    <w:rsid w:val="000D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amidade.gov/buil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cp:revision>
  <dcterms:created xsi:type="dcterms:W3CDTF">2022-11-16T21:40:00Z</dcterms:created>
  <dcterms:modified xsi:type="dcterms:W3CDTF">2022-11-17T15:13:00Z</dcterms:modified>
</cp:coreProperties>
</file>